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95660">
      <w:pPr>
        <w:shd w:val="clear" w:color="auto" w:fill="auto"/>
        <w:spacing w:line="360" w:lineRule="auto"/>
        <w:jc w:val="center"/>
        <w:rPr>
          <w:rFonts w:hint="default" w:ascii="宋体" w:hAnsi="宋体" w:eastAsia="宋体"/>
          <w:b/>
          <w:bCs/>
          <w:color w:val="auto"/>
          <w:sz w:val="30"/>
          <w:szCs w:val="30"/>
          <w:highlight w:val="none"/>
          <w:lang w:val="en-US" w:eastAsia="zh-CN"/>
        </w:rPr>
      </w:pPr>
      <w:r>
        <w:rPr>
          <w:rFonts w:hint="eastAsia" w:ascii="宋体" w:hAnsi="宋体"/>
          <w:b/>
          <w:bCs/>
          <w:color w:val="auto"/>
          <w:sz w:val="36"/>
          <w:szCs w:val="36"/>
          <w:highlight w:val="none"/>
          <w:lang w:val="en-US" w:eastAsia="zh-CN"/>
        </w:rPr>
        <w:t>竞争性磋商采购公告</w:t>
      </w:r>
    </w:p>
    <w:p w14:paraId="2C84FE0A">
      <w:pPr>
        <w:pStyle w:val="2"/>
        <w:shd w:val="clear" w:color="auto" w:fill="auto"/>
        <w:snapToGrid w:val="0"/>
        <w:spacing w:line="360" w:lineRule="auto"/>
        <w:ind w:firstLine="420" w:firstLineChars="200"/>
        <w:rPr>
          <w:rFonts w:ascii="宋体" w:hAnsi="宋体" w:cs="Times New Roman"/>
          <w:color w:val="auto"/>
          <w:highlight w:val="none"/>
        </w:rPr>
      </w:pPr>
      <w:r>
        <w:rPr>
          <w:rFonts w:hint="eastAsia" w:ascii="宋体" w:hAnsi="宋体" w:cs="宋体"/>
          <w:color w:val="auto"/>
          <w:highlight w:val="none"/>
          <w:u w:val="single"/>
        </w:rPr>
        <w:t>广州市云兴建设工程监理有限公司</w:t>
      </w:r>
      <w:r>
        <w:rPr>
          <w:rFonts w:hint="eastAsia" w:ascii="宋体" w:hAnsi="宋体" w:cs="宋体"/>
          <w:color w:val="auto"/>
          <w:highlight w:val="none"/>
        </w:rPr>
        <w:t>受</w:t>
      </w:r>
      <w:r>
        <w:rPr>
          <w:rFonts w:hint="eastAsia" w:ascii="宋体" w:hAnsi="宋体" w:cs="宋体"/>
          <w:color w:val="auto"/>
          <w:highlight w:val="none"/>
          <w:u w:val="single"/>
          <w:lang w:eastAsia="zh-CN"/>
        </w:rPr>
        <w:t>广州市白云区人民政府石井街道办事处</w:t>
      </w:r>
      <w:r>
        <w:rPr>
          <w:rFonts w:hint="eastAsia" w:ascii="宋体" w:hAnsi="宋体" w:cs="宋体"/>
          <w:color w:val="auto"/>
          <w:highlight w:val="none"/>
        </w:rPr>
        <w:t>的委托，对</w:t>
      </w:r>
      <w:r>
        <w:rPr>
          <w:rFonts w:hint="eastAsia" w:ascii="宋体" w:hAnsi="宋体" w:cs="宋体"/>
          <w:color w:val="auto"/>
          <w:highlight w:val="none"/>
          <w:u w:val="single"/>
          <w:lang w:eastAsia="zh-CN"/>
        </w:rPr>
        <w:t>西部临江大道（一期）项目（石井街）拆卸工程</w:t>
      </w:r>
      <w:r>
        <w:rPr>
          <w:rFonts w:hint="eastAsia" w:ascii="宋体" w:hAnsi="宋体" w:cs="宋体"/>
          <w:color w:val="auto"/>
          <w:highlight w:val="none"/>
        </w:rPr>
        <w:t>进行竞争性磋商采购，欢迎符合资格条件的供应商参加。</w:t>
      </w:r>
    </w:p>
    <w:p w14:paraId="7C22933C">
      <w:pPr>
        <w:pStyle w:val="2"/>
        <w:numPr>
          <w:ilvl w:val="0"/>
          <w:numId w:val="1"/>
        </w:numPr>
        <w:shd w:val="clear" w:color="auto" w:fill="auto"/>
        <w:tabs>
          <w:tab w:val="left" w:pos="420"/>
        </w:tabs>
        <w:snapToGrid w:val="0"/>
        <w:spacing w:line="360" w:lineRule="auto"/>
        <w:rPr>
          <w:rFonts w:ascii="宋体" w:hAnsi="宋体" w:cs="Times New Roman"/>
          <w:color w:val="auto"/>
          <w:highlight w:val="none"/>
        </w:rPr>
      </w:pPr>
      <w:r>
        <w:rPr>
          <w:rFonts w:hint="eastAsia" w:ascii="宋体" w:hAnsi="宋体" w:cs="宋体"/>
          <w:b/>
          <w:bCs/>
          <w:color w:val="auto"/>
          <w:highlight w:val="none"/>
        </w:rPr>
        <w:t>采购项目编号：</w:t>
      </w:r>
      <w:r>
        <w:rPr>
          <w:rFonts w:hint="eastAsia" w:ascii="宋体" w:hAnsi="宋体" w:cs="宋体"/>
          <w:color w:val="auto"/>
          <w:highlight w:val="none"/>
          <w:u w:val="single"/>
          <w:lang w:eastAsia="zh-CN"/>
        </w:rPr>
        <w:t>YXZB2026-4-30</w:t>
      </w:r>
    </w:p>
    <w:p w14:paraId="7D789B63">
      <w:pPr>
        <w:pStyle w:val="2"/>
        <w:numPr>
          <w:ilvl w:val="0"/>
          <w:numId w:val="1"/>
        </w:numPr>
        <w:shd w:val="clear" w:color="auto" w:fill="auto"/>
        <w:tabs>
          <w:tab w:val="left" w:pos="420"/>
        </w:tabs>
        <w:snapToGrid w:val="0"/>
        <w:spacing w:line="360" w:lineRule="auto"/>
        <w:rPr>
          <w:rFonts w:ascii="宋体" w:hAnsi="宋体" w:cs="Times New Roman"/>
          <w:color w:val="auto"/>
          <w:highlight w:val="none"/>
        </w:rPr>
      </w:pPr>
      <w:r>
        <w:rPr>
          <w:rFonts w:hint="eastAsia" w:ascii="宋体" w:hAnsi="宋体" w:cs="宋体"/>
          <w:b/>
          <w:bCs/>
          <w:color w:val="auto"/>
          <w:highlight w:val="none"/>
        </w:rPr>
        <w:t>采购项目名称：</w:t>
      </w:r>
      <w:r>
        <w:rPr>
          <w:rFonts w:hint="eastAsia" w:ascii="宋体" w:hAnsi="宋体" w:cs="宋体"/>
          <w:color w:val="auto"/>
          <w:highlight w:val="none"/>
          <w:u w:val="single"/>
          <w:lang w:eastAsia="zh-CN"/>
        </w:rPr>
        <w:t>西部临江大道（一期）项目（石井街）拆卸工程</w:t>
      </w:r>
    </w:p>
    <w:p w14:paraId="350B54AB">
      <w:pPr>
        <w:pStyle w:val="2"/>
        <w:numPr>
          <w:ilvl w:val="0"/>
          <w:numId w:val="1"/>
        </w:numPr>
        <w:shd w:val="clear" w:color="auto" w:fill="auto"/>
        <w:tabs>
          <w:tab w:val="left" w:pos="420"/>
        </w:tabs>
        <w:snapToGrid w:val="0"/>
        <w:spacing w:line="360" w:lineRule="auto"/>
        <w:rPr>
          <w:rFonts w:ascii="宋体" w:hAnsi="宋体" w:cs="Times New Roman"/>
          <w:color w:val="auto"/>
          <w:highlight w:val="none"/>
        </w:rPr>
      </w:pPr>
      <w:r>
        <w:rPr>
          <w:rFonts w:hint="eastAsia" w:ascii="宋体" w:hAnsi="宋体" w:eastAsia="宋体" w:cs="宋体"/>
          <w:b/>
          <w:bCs/>
          <w:color w:val="auto"/>
          <w:highlight w:val="none"/>
          <w:lang w:val="en-US" w:eastAsia="zh-CN"/>
        </w:rPr>
        <w:t>建筑工程费</w:t>
      </w:r>
      <w:r>
        <w:rPr>
          <w:rFonts w:hint="eastAsia" w:ascii="宋体" w:hAnsi="宋体" w:eastAsia="宋体" w:cs="宋体"/>
          <w:b/>
          <w:bCs/>
          <w:color w:val="auto"/>
          <w:highlight w:val="none"/>
        </w:rPr>
        <w:t>最高限价</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元</w:t>
      </w:r>
      <w:r>
        <w:rPr>
          <w:rFonts w:hint="eastAsia" w:ascii="宋体" w:hAnsi="宋体" w:eastAsia="宋体" w:cs="宋体"/>
          <w:b/>
          <w:bCs/>
          <w:color w:val="auto"/>
          <w:highlight w:val="none"/>
          <w:lang w:eastAsia="zh-CN"/>
        </w:rPr>
        <w:t>）：</w:t>
      </w:r>
      <w:r>
        <w:rPr>
          <w:rFonts w:hint="eastAsia" w:ascii="宋体" w:hAnsi="宋体" w:eastAsia="宋体" w:cs="宋体"/>
          <w:b w:val="0"/>
          <w:bCs w:val="0"/>
          <w:color w:val="auto"/>
          <w:highlight w:val="none"/>
          <w:lang w:eastAsia="zh-CN"/>
        </w:rPr>
        <w:t>711387.91；</w:t>
      </w:r>
      <w:r>
        <w:rPr>
          <w:rFonts w:hint="eastAsia" w:ascii="宋体" w:hAnsi="宋体" w:eastAsia="宋体" w:cs="宋体"/>
          <w:b/>
          <w:bCs/>
          <w:color w:val="auto"/>
          <w:highlight w:val="none"/>
          <w:lang w:val="en-US" w:eastAsia="zh-CN"/>
        </w:rPr>
        <w:t>回收价值最低限价</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元</w:t>
      </w:r>
      <w:r>
        <w:rPr>
          <w:rFonts w:hint="eastAsia" w:ascii="宋体" w:hAnsi="宋体" w:eastAsia="宋体" w:cs="宋体"/>
          <w:b/>
          <w:bCs/>
          <w:color w:val="auto"/>
          <w:highlight w:val="none"/>
          <w:lang w:eastAsia="zh-CN"/>
        </w:rPr>
        <w:t>）：</w:t>
      </w:r>
      <w:r>
        <w:rPr>
          <w:rFonts w:hint="eastAsia" w:ascii="宋体" w:hAnsi="宋体" w:eastAsia="宋体" w:cs="宋体"/>
          <w:b w:val="0"/>
          <w:bCs w:val="0"/>
          <w:color w:val="auto"/>
          <w:kern w:val="0"/>
          <w:highlight w:val="none"/>
          <w:lang w:eastAsia="zh-CN"/>
        </w:rPr>
        <w:t>507700.00</w:t>
      </w:r>
    </w:p>
    <w:p w14:paraId="0D767F1C">
      <w:pPr>
        <w:pStyle w:val="2"/>
        <w:numPr>
          <w:ilvl w:val="0"/>
          <w:numId w:val="1"/>
        </w:numPr>
        <w:shd w:val="clear" w:color="auto" w:fill="auto"/>
        <w:tabs>
          <w:tab w:val="left" w:pos="420"/>
        </w:tabs>
        <w:snapToGrid w:val="0"/>
        <w:spacing w:line="360" w:lineRule="auto"/>
        <w:rPr>
          <w:rFonts w:ascii="宋体" w:hAnsi="宋体" w:cs="Times New Roman"/>
          <w:color w:val="auto"/>
          <w:highlight w:val="none"/>
        </w:rPr>
      </w:pPr>
      <w:r>
        <w:rPr>
          <w:rFonts w:hint="eastAsia" w:ascii="宋体" w:hAnsi="宋体" w:cs="宋体"/>
          <w:b/>
          <w:bCs/>
          <w:color w:val="auto"/>
          <w:kern w:val="0"/>
          <w:highlight w:val="none"/>
        </w:rPr>
        <w:t>采购数量：</w:t>
      </w:r>
      <w:r>
        <w:rPr>
          <w:rFonts w:ascii="宋体" w:hAnsi="宋体" w:cs="宋体"/>
          <w:color w:val="auto"/>
          <w:kern w:val="0"/>
          <w:highlight w:val="none"/>
          <w:u w:val="single"/>
        </w:rPr>
        <w:t>1</w:t>
      </w:r>
      <w:r>
        <w:rPr>
          <w:rFonts w:hint="eastAsia" w:ascii="宋体" w:hAnsi="宋体" w:cs="宋体"/>
          <w:color w:val="auto"/>
          <w:kern w:val="0"/>
          <w:highlight w:val="none"/>
          <w:u w:val="single"/>
        </w:rPr>
        <w:t>项</w:t>
      </w:r>
      <w:r>
        <w:rPr>
          <w:rFonts w:hint="eastAsia" w:ascii="宋体" w:hAnsi="宋体" w:cs="宋体"/>
          <w:color w:val="auto"/>
          <w:kern w:val="0"/>
          <w:highlight w:val="none"/>
        </w:rPr>
        <w:t>。</w:t>
      </w:r>
    </w:p>
    <w:p w14:paraId="105940B5">
      <w:pPr>
        <w:pStyle w:val="2"/>
        <w:numPr>
          <w:ilvl w:val="0"/>
          <w:numId w:val="1"/>
        </w:numPr>
        <w:shd w:val="clear" w:color="auto" w:fill="auto"/>
        <w:tabs>
          <w:tab w:val="left" w:pos="420"/>
        </w:tabs>
        <w:snapToGrid w:val="0"/>
        <w:spacing w:line="360" w:lineRule="auto"/>
        <w:rPr>
          <w:b/>
          <w:bCs/>
        </w:rPr>
      </w:pPr>
      <w:r>
        <w:rPr>
          <w:rFonts w:hint="eastAsia"/>
          <w:b/>
          <w:bCs/>
        </w:rPr>
        <w:t>采购项目内容及需求（采购项目技术规格、参数及要求）</w:t>
      </w:r>
      <w:r>
        <w:rPr>
          <w:b/>
          <w:bCs/>
        </w:rPr>
        <w:t xml:space="preserve"> </w:t>
      </w:r>
      <w:r>
        <w:rPr>
          <w:rFonts w:hint="eastAsia"/>
          <w:b/>
          <w:bCs/>
        </w:rPr>
        <w:t>：</w:t>
      </w:r>
    </w:p>
    <w:tbl>
      <w:tblPr>
        <w:tblStyle w:val="3"/>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 w:type="dxa"/>
          <w:bottom w:w="0" w:type="dxa"/>
          <w:right w:w="10" w:type="dxa"/>
        </w:tblCellMar>
      </w:tblPr>
      <w:tblGrid>
        <w:gridCol w:w="568"/>
        <w:gridCol w:w="1369"/>
        <w:gridCol w:w="1000"/>
        <w:gridCol w:w="1564"/>
        <w:gridCol w:w="1527"/>
        <w:gridCol w:w="1013"/>
        <w:gridCol w:w="1063"/>
        <w:gridCol w:w="1161"/>
      </w:tblGrid>
      <w:tr w14:paraId="2BDDF8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796" w:hRule="atLeast"/>
        </w:trPr>
        <w:tc>
          <w:tcPr>
            <w:tcW w:w="307" w:type="pct"/>
            <w:tcBorders>
              <w:top w:val="single" w:color="auto" w:sz="12" w:space="0"/>
            </w:tcBorders>
            <w:noWrap w:val="0"/>
            <w:vAlign w:val="center"/>
          </w:tcPr>
          <w:p w14:paraId="11BAD05B">
            <w:pPr>
              <w:keepNext w:val="0"/>
              <w:keepLines w:val="0"/>
              <w:pageBreakBefore w:val="0"/>
              <w:widowControl w:val="0"/>
              <w:shd w:val="clear" w:color="auto" w:fill="auto"/>
              <w:kinsoku/>
              <w:wordWrap/>
              <w:overflowPunct/>
              <w:topLinePunct w:val="0"/>
              <w:bidi w:val="0"/>
              <w:adjustRightInd w:val="0"/>
              <w:snapToGrid w:val="0"/>
              <w:spacing w:line="240" w:lineRule="exact"/>
              <w:jc w:val="center"/>
              <w:textAlignment w:val="auto"/>
              <w:rPr>
                <w:rFonts w:ascii="宋体" w:hAnsi="宋体"/>
                <w:b/>
                <w:bCs/>
                <w:color w:val="auto"/>
                <w:highlight w:val="none"/>
              </w:rPr>
            </w:pPr>
            <w:bookmarkStart w:id="2" w:name="_GoBack"/>
            <w:r>
              <w:rPr>
                <w:rFonts w:hint="eastAsia" w:ascii="宋体" w:hAnsi="宋体" w:cs="宋体"/>
                <w:b/>
                <w:bCs/>
                <w:color w:val="auto"/>
                <w:highlight w:val="none"/>
              </w:rPr>
              <w:t>序号</w:t>
            </w:r>
          </w:p>
        </w:tc>
        <w:tc>
          <w:tcPr>
            <w:tcW w:w="738" w:type="pct"/>
            <w:tcBorders>
              <w:top w:val="single" w:color="auto" w:sz="12" w:space="0"/>
            </w:tcBorders>
            <w:noWrap w:val="0"/>
            <w:vAlign w:val="center"/>
          </w:tcPr>
          <w:p w14:paraId="0D0F4BB5">
            <w:pPr>
              <w:keepNext w:val="0"/>
              <w:keepLines w:val="0"/>
              <w:pageBreakBefore w:val="0"/>
              <w:widowControl w:val="0"/>
              <w:shd w:val="clear" w:color="auto" w:fill="auto"/>
              <w:kinsoku/>
              <w:wordWrap/>
              <w:overflowPunct/>
              <w:topLinePunct w:val="0"/>
              <w:bidi w:val="0"/>
              <w:adjustRightInd w:val="0"/>
              <w:snapToGrid w:val="0"/>
              <w:spacing w:line="240" w:lineRule="exact"/>
              <w:jc w:val="center"/>
              <w:textAlignment w:val="auto"/>
              <w:rPr>
                <w:rFonts w:ascii="宋体" w:hAnsi="宋体"/>
                <w:b/>
                <w:bCs/>
                <w:color w:val="auto"/>
                <w:highlight w:val="none"/>
                <w:lang w:val="zh-CN"/>
              </w:rPr>
            </w:pPr>
            <w:r>
              <w:rPr>
                <w:rFonts w:hint="eastAsia" w:ascii="宋体" w:hAnsi="宋体" w:cs="宋体"/>
                <w:b/>
                <w:bCs/>
                <w:color w:val="auto"/>
                <w:highlight w:val="none"/>
              </w:rPr>
              <w:t>项目名称</w:t>
            </w:r>
          </w:p>
        </w:tc>
        <w:tc>
          <w:tcPr>
            <w:tcW w:w="539" w:type="pct"/>
            <w:tcBorders>
              <w:top w:val="single" w:color="auto" w:sz="12" w:space="0"/>
            </w:tcBorders>
            <w:noWrap w:val="0"/>
            <w:vAlign w:val="center"/>
          </w:tcPr>
          <w:p w14:paraId="32903DFE">
            <w:pPr>
              <w:keepNext w:val="0"/>
              <w:keepLines w:val="0"/>
              <w:pageBreakBefore w:val="0"/>
              <w:widowControl w:val="0"/>
              <w:shd w:val="clear" w:color="auto" w:fill="auto"/>
              <w:kinsoku/>
              <w:wordWrap/>
              <w:overflowPunct/>
              <w:topLinePunct w:val="0"/>
              <w:bidi w:val="0"/>
              <w:adjustRightInd w:val="0"/>
              <w:snapToGrid w:val="0"/>
              <w:spacing w:line="240" w:lineRule="exact"/>
              <w:jc w:val="center"/>
              <w:textAlignment w:val="auto"/>
              <w:rPr>
                <w:rFonts w:ascii="宋体" w:hAnsi="宋体"/>
                <w:b/>
                <w:bCs/>
                <w:color w:val="auto"/>
                <w:highlight w:val="none"/>
                <w:lang w:val="zh-CN"/>
              </w:rPr>
            </w:pPr>
            <w:r>
              <w:rPr>
                <w:rFonts w:ascii="宋体" w:hAnsi="宋体"/>
                <w:b/>
                <w:bCs/>
                <w:color w:val="auto"/>
                <w:highlight w:val="none"/>
                <w:lang w:val="zh-CN"/>
              </w:rPr>
              <w:t>成交供应商数量</w:t>
            </w:r>
          </w:p>
        </w:tc>
        <w:tc>
          <w:tcPr>
            <w:tcW w:w="843" w:type="pct"/>
            <w:tcBorders>
              <w:top w:val="single" w:color="auto" w:sz="12" w:space="0"/>
            </w:tcBorders>
            <w:noWrap w:val="0"/>
            <w:vAlign w:val="center"/>
          </w:tcPr>
          <w:p w14:paraId="737E5BA7">
            <w:pPr>
              <w:keepNext w:val="0"/>
              <w:keepLines w:val="0"/>
              <w:pageBreakBefore w:val="0"/>
              <w:widowControl w:val="0"/>
              <w:shd w:val="clear" w:color="auto" w:fill="auto"/>
              <w:kinsoku/>
              <w:wordWrap/>
              <w:overflowPunct/>
              <w:topLinePunct w:val="0"/>
              <w:bidi w:val="0"/>
              <w:adjustRightInd w:val="0"/>
              <w:snapToGrid w:val="0"/>
              <w:spacing w:line="240" w:lineRule="exact"/>
              <w:jc w:val="center"/>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建筑工程费</w:t>
            </w:r>
            <w:r>
              <w:rPr>
                <w:rFonts w:hint="eastAsia" w:ascii="宋体" w:hAnsi="宋体" w:eastAsia="宋体" w:cs="宋体"/>
                <w:b/>
                <w:bCs/>
                <w:color w:val="auto"/>
                <w:highlight w:val="none"/>
              </w:rPr>
              <w:t>最高限价</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元</w:t>
            </w:r>
            <w:r>
              <w:rPr>
                <w:rFonts w:hint="eastAsia" w:ascii="宋体" w:hAnsi="宋体" w:eastAsia="宋体" w:cs="宋体"/>
                <w:b/>
                <w:bCs/>
                <w:color w:val="auto"/>
                <w:highlight w:val="none"/>
                <w:lang w:eastAsia="zh-CN"/>
              </w:rPr>
              <w:t>）</w:t>
            </w:r>
          </w:p>
        </w:tc>
        <w:tc>
          <w:tcPr>
            <w:tcW w:w="823" w:type="pct"/>
            <w:tcBorders>
              <w:top w:val="single" w:color="auto" w:sz="12" w:space="0"/>
            </w:tcBorders>
            <w:noWrap w:val="0"/>
            <w:vAlign w:val="center"/>
          </w:tcPr>
          <w:p w14:paraId="3F22E159">
            <w:pPr>
              <w:keepNext w:val="0"/>
              <w:keepLines w:val="0"/>
              <w:pageBreakBefore w:val="0"/>
              <w:widowControl w:val="0"/>
              <w:shd w:val="clear" w:color="auto" w:fill="auto"/>
              <w:kinsoku/>
              <w:wordWrap/>
              <w:overflowPunct/>
              <w:topLinePunct w:val="0"/>
              <w:bidi w:val="0"/>
              <w:adjustRightInd w:val="0"/>
              <w:snapToGrid w:val="0"/>
              <w:spacing w:line="24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回收价值最低限价</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元</w:t>
            </w:r>
            <w:r>
              <w:rPr>
                <w:rFonts w:hint="eastAsia" w:ascii="宋体" w:hAnsi="宋体" w:eastAsia="宋体" w:cs="宋体"/>
                <w:b/>
                <w:bCs/>
                <w:color w:val="auto"/>
                <w:highlight w:val="none"/>
                <w:lang w:eastAsia="zh-CN"/>
              </w:rPr>
              <w:t>）</w:t>
            </w:r>
          </w:p>
        </w:tc>
        <w:tc>
          <w:tcPr>
            <w:tcW w:w="546" w:type="pct"/>
            <w:tcBorders>
              <w:top w:val="single" w:color="auto" w:sz="12" w:space="0"/>
            </w:tcBorders>
            <w:noWrap w:val="0"/>
            <w:vAlign w:val="center"/>
          </w:tcPr>
          <w:p w14:paraId="65CB080B">
            <w:pPr>
              <w:keepNext w:val="0"/>
              <w:keepLines w:val="0"/>
              <w:pageBreakBefore w:val="0"/>
              <w:widowControl w:val="0"/>
              <w:shd w:val="clear" w:color="auto" w:fill="auto"/>
              <w:kinsoku/>
              <w:wordWrap/>
              <w:overflowPunct/>
              <w:topLinePunct w:val="0"/>
              <w:bidi w:val="0"/>
              <w:adjustRightInd w:val="0"/>
              <w:snapToGrid w:val="0"/>
              <w:spacing w:line="240" w:lineRule="exact"/>
              <w:jc w:val="center"/>
              <w:textAlignment w:val="auto"/>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项目所属行业</w:t>
            </w:r>
          </w:p>
        </w:tc>
        <w:tc>
          <w:tcPr>
            <w:tcW w:w="573" w:type="pct"/>
            <w:tcBorders>
              <w:top w:val="single" w:color="auto" w:sz="12" w:space="0"/>
            </w:tcBorders>
            <w:noWrap w:val="0"/>
            <w:vAlign w:val="center"/>
          </w:tcPr>
          <w:p w14:paraId="2B0D2380">
            <w:pPr>
              <w:keepNext w:val="0"/>
              <w:keepLines w:val="0"/>
              <w:pageBreakBefore w:val="0"/>
              <w:widowControl w:val="0"/>
              <w:shd w:val="clear" w:color="auto" w:fill="auto"/>
              <w:kinsoku/>
              <w:wordWrap/>
              <w:overflowPunct/>
              <w:topLinePunct w:val="0"/>
              <w:bidi w:val="0"/>
              <w:adjustRightInd w:val="0"/>
              <w:snapToGrid w:val="0"/>
              <w:spacing w:line="240" w:lineRule="exact"/>
              <w:jc w:val="center"/>
              <w:textAlignment w:val="auto"/>
              <w:rPr>
                <w:rFonts w:ascii="宋体" w:hAnsi="宋体" w:cs="宋体"/>
                <w:b/>
                <w:bCs/>
                <w:color w:val="auto"/>
                <w:highlight w:val="none"/>
                <w:lang w:val="zh-CN"/>
              </w:rPr>
            </w:pPr>
            <w:r>
              <w:rPr>
                <w:rFonts w:hint="eastAsia" w:ascii="宋体" w:hAnsi="宋体" w:cs="宋体"/>
                <w:b/>
                <w:bCs/>
                <w:color w:val="auto"/>
                <w:highlight w:val="none"/>
                <w:lang w:val="zh-CN"/>
              </w:rPr>
              <w:t>工期</w:t>
            </w:r>
          </w:p>
        </w:tc>
        <w:tc>
          <w:tcPr>
            <w:tcW w:w="626" w:type="pct"/>
            <w:tcBorders>
              <w:top w:val="single" w:color="auto" w:sz="12" w:space="0"/>
            </w:tcBorders>
            <w:noWrap w:val="0"/>
            <w:vAlign w:val="center"/>
          </w:tcPr>
          <w:p w14:paraId="12F23245">
            <w:pPr>
              <w:keepNext w:val="0"/>
              <w:keepLines w:val="0"/>
              <w:pageBreakBefore w:val="0"/>
              <w:widowControl w:val="0"/>
              <w:shd w:val="clear" w:color="auto" w:fill="auto"/>
              <w:kinsoku/>
              <w:wordWrap/>
              <w:overflowPunct/>
              <w:topLinePunct w:val="0"/>
              <w:bidi w:val="0"/>
              <w:adjustRightInd w:val="0"/>
              <w:snapToGrid w:val="0"/>
              <w:spacing w:line="240" w:lineRule="exact"/>
              <w:jc w:val="center"/>
              <w:textAlignment w:val="auto"/>
              <w:rPr>
                <w:rFonts w:ascii="宋体" w:hAnsi="宋体"/>
                <w:b/>
                <w:bCs/>
                <w:color w:val="auto"/>
                <w:highlight w:val="none"/>
                <w:lang w:val="zh-CN"/>
              </w:rPr>
            </w:pPr>
            <w:r>
              <w:rPr>
                <w:rFonts w:hint="eastAsia" w:ascii="宋体" w:hAnsi="宋体" w:cs="宋体"/>
                <w:b/>
                <w:bCs/>
                <w:color w:val="auto"/>
                <w:highlight w:val="none"/>
                <w:lang w:val="zh-CN"/>
              </w:rPr>
              <w:t>备注</w:t>
            </w:r>
          </w:p>
        </w:tc>
      </w:tr>
      <w:tr w14:paraId="530814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1541" w:hRule="atLeast"/>
        </w:trPr>
        <w:tc>
          <w:tcPr>
            <w:tcW w:w="307" w:type="pct"/>
            <w:tcBorders>
              <w:bottom w:val="single" w:color="auto" w:sz="12" w:space="0"/>
            </w:tcBorders>
            <w:noWrap w:val="0"/>
            <w:vAlign w:val="center"/>
          </w:tcPr>
          <w:p w14:paraId="3499711B">
            <w:pPr>
              <w:keepNext w:val="0"/>
              <w:keepLines w:val="0"/>
              <w:pageBreakBefore w:val="0"/>
              <w:widowControl w:val="0"/>
              <w:shd w:val="clear" w:color="auto" w:fill="auto"/>
              <w:kinsoku/>
              <w:wordWrap/>
              <w:overflowPunct/>
              <w:topLinePunct w:val="0"/>
              <w:bidi w:val="0"/>
              <w:adjustRightInd w:val="0"/>
              <w:snapToGrid w:val="0"/>
              <w:spacing w:line="240" w:lineRule="exact"/>
              <w:jc w:val="center"/>
              <w:textAlignment w:val="auto"/>
              <w:rPr>
                <w:rFonts w:ascii="宋体" w:hAnsi="宋体" w:cs="宋体"/>
                <w:color w:val="auto"/>
                <w:kern w:val="0"/>
                <w:highlight w:val="none"/>
              </w:rPr>
            </w:pPr>
            <w:r>
              <w:rPr>
                <w:rFonts w:ascii="宋体" w:hAnsi="宋体" w:cs="宋体"/>
                <w:color w:val="auto"/>
                <w:kern w:val="0"/>
                <w:highlight w:val="none"/>
              </w:rPr>
              <w:t>1</w:t>
            </w:r>
          </w:p>
        </w:tc>
        <w:tc>
          <w:tcPr>
            <w:tcW w:w="738" w:type="pct"/>
            <w:tcBorders>
              <w:bottom w:val="single" w:color="auto" w:sz="12" w:space="0"/>
            </w:tcBorders>
            <w:noWrap w:val="0"/>
            <w:vAlign w:val="center"/>
          </w:tcPr>
          <w:p w14:paraId="776F523D">
            <w:pPr>
              <w:keepNext w:val="0"/>
              <w:keepLines w:val="0"/>
              <w:pageBreakBefore w:val="0"/>
              <w:widowControl w:val="0"/>
              <w:shd w:val="clear" w:color="auto" w:fill="auto"/>
              <w:tabs>
                <w:tab w:val="right" w:leader="dot" w:pos="9628"/>
              </w:tabs>
              <w:kinsoku/>
              <w:wordWrap/>
              <w:overflowPunct/>
              <w:topLinePunct w:val="0"/>
              <w:autoSpaceDE w:val="0"/>
              <w:autoSpaceDN w:val="0"/>
              <w:bidi w:val="0"/>
              <w:adjustRightInd w:val="0"/>
              <w:spacing w:line="240" w:lineRule="exact"/>
              <w:jc w:val="center"/>
              <w:textAlignment w:val="auto"/>
              <w:rPr>
                <w:rFonts w:hint="eastAsia" w:ascii="宋体" w:hAnsi="宋体" w:eastAsia="宋体" w:cs="宋体"/>
                <w:color w:val="auto"/>
                <w:kern w:val="0"/>
                <w:highlight w:val="none"/>
                <w:lang w:eastAsia="zh-CN"/>
              </w:rPr>
            </w:pPr>
            <w:r>
              <w:rPr>
                <w:rFonts w:hint="eastAsia" w:ascii="宋体" w:hAnsi="宋体" w:cs="宋体"/>
                <w:color w:val="auto"/>
                <w:kern w:val="0"/>
                <w:highlight w:val="none"/>
                <w:lang w:eastAsia="zh-CN"/>
              </w:rPr>
              <w:t>西部临江大道（一期）项目（石井街）拆卸工程</w:t>
            </w:r>
          </w:p>
        </w:tc>
        <w:tc>
          <w:tcPr>
            <w:tcW w:w="539" w:type="pct"/>
            <w:tcBorders>
              <w:bottom w:val="single" w:color="auto" w:sz="12" w:space="0"/>
            </w:tcBorders>
            <w:noWrap w:val="0"/>
            <w:vAlign w:val="center"/>
          </w:tcPr>
          <w:p w14:paraId="31478744">
            <w:pPr>
              <w:keepNext w:val="0"/>
              <w:keepLines w:val="0"/>
              <w:pageBreakBefore w:val="0"/>
              <w:widowControl w:val="0"/>
              <w:shd w:val="clear" w:color="auto" w:fill="auto"/>
              <w:kinsoku/>
              <w:wordWrap/>
              <w:overflowPunct/>
              <w:topLinePunct w:val="0"/>
              <w:bidi w:val="0"/>
              <w:adjustRightInd w:val="0"/>
              <w:snapToGrid w:val="0"/>
              <w:spacing w:line="240" w:lineRule="exact"/>
              <w:jc w:val="center"/>
              <w:textAlignment w:val="auto"/>
              <w:rPr>
                <w:rFonts w:hint="eastAsia" w:ascii="宋体" w:hAnsi="宋体" w:eastAsia="宋体" w:cs="宋体"/>
                <w:color w:val="auto"/>
                <w:kern w:val="0"/>
                <w:highlight w:val="none"/>
                <w:lang w:val="en-US" w:eastAsia="zh-CN"/>
              </w:rPr>
            </w:pPr>
            <w:r>
              <w:rPr>
                <w:rFonts w:ascii="宋体" w:hAnsi="宋体" w:cs="宋体"/>
                <w:color w:val="auto"/>
                <w:kern w:val="0"/>
                <w:highlight w:val="none"/>
              </w:rPr>
              <w:t>1</w:t>
            </w:r>
            <w:r>
              <w:rPr>
                <w:rFonts w:hint="eastAsia" w:ascii="宋体" w:hAnsi="宋体" w:cs="宋体"/>
                <w:color w:val="auto"/>
                <w:kern w:val="0"/>
                <w:highlight w:val="none"/>
                <w:lang w:val="en-US" w:eastAsia="zh-CN"/>
              </w:rPr>
              <w:t>家</w:t>
            </w:r>
          </w:p>
        </w:tc>
        <w:tc>
          <w:tcPr>
            <w:tcW w:w="843" w:type="pct"/>
            <w:tcBorders>
              <w:bottom w:val="single" w:color="auto" w:sz="12" w:space="0"/>
            </w:tcBorders>
            <w:noWrap w:val="0"/>
            <w:vAlign w:val="center"/>
          </w:tcPr>
          <w:p w14:paraId="4F0183DE">
            <w:pPr>
              <w:keepNext w:val="0"/>
              <w:keepLines w:val="0"/>
              <w:pageBreakBefore w:val="0"/>
              <w:widowControl w:val="0"/>
              <w:shd w:val="clear" w:color="auto" w:fill="auto"/>
              <w:tabs>
                <w:tab w:val="right" w:leader="dot" w:pos="9628"/>
              </w:tabs>
              <w:kinsoku/>
              <w:wordWrap/>
              <w:overflowPunct/>
              <w:topLinePunct w:val="0"/>
              <w:autoSpaceDE w:val="0"/>
              <w:autoSpaceDN w:val="0"/>
              <w:bidi w:val="0"/>
              <w:adjustRightInd w:val="0"/>
              <w:spacing w:line="240" w:lineRule="exact"/>
              <w:jc w:val="center"/>
              <w:textAlignment w:val="auto"/>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711387.91</w:t>
            </w:r>
          </w:p>
        </w:tc>
        <w:tc>
          <w:tcPr>
            <w:tcW w:w="823" w:type="pct"/>
            <w:tcBorders>
              <w:bottom w:val="single" w:color="auto" w:sz="12" w:space="0"/>
            </w:tcBorders>
            <w:noWrap w:val="0"/>
            <w:vAlign w:val="center"/>
          </w:tcPr>
          <w:p w14:paraId="75C2DCE0">
            <w:pPr>
              <w:keepNext w:val="0"/>
              <w:keepLines w:val="0"/>
              <w:pageBreakBefore w:val="0"/>
              <w:widowControl w:val="0"/>
              <w:shd w:val="clear" w:color="auto" w:fill="auto"/>
              <w:tabs>
                <w:tab w:val="right" w:leader="dot" w:pos="9628"/>
              </w:tabs>
              <w:kinsoku/>
              <w:wordWrap/>
              <w:overflowPunct/>
              <w:topLinePunct w:val="0"/>
              <w:autoSpaceDE w:val="0"/>
              <w:autoSpaceDN w:val="0"/>
              <w:bidi w:val="0"/>
              <w:adjustRightInd w:val="0"/>
              <w:spacing w:line="240" w:lineRule="exact"/>
              <w:jc w:val="center"/>
              <w:textAlignment w:val="auto"/>
              <w:rPr>
                <w:rFonts w:hint="eastAsia" w:ascii="Arial" w:hAnsi="Arial" w:eastAsia="宋体" w:cs="Arial"/>
                <w:b/>
                <w:bCs/>
                <w:color w:val="auto"/>
                <w:highlight w:val="none"/>
                <w:lang w:val="en-US" w:eastAsia="zh-CN"/>
              </w:rPr>
            </w:pPr>
            <w:r>
              <w:rPr>
                <w:rFonts w:hint="eastAsia" w:ascii="宋体" w:hAnsi="宋体" w:eastAsia="宋体" w:cs="宋体"/>
                <w:b w:val="0"/>
                <w:bCs w:val="0"/>
                <w:color w:val="auto"/>
                <w:kern w:val="0"/>
                <w:highlight w:val="none"/>
                <w:lang w:eastAsia="zh-CN"/>
              </w:rPr>
              <w:t>507700.00</w:t>
            </w:r>
          </w:p>
        </w:tc>
        <w:tc>
          <w:tcPr>
            <w:tcW w:w="546" w:type="pct"/>
            <w:tcBorders>
              <w:bottom w:val="single" w:color="auto" w:sz="12" w:space="0"/>
            </w:tcBorders>
            <w:noWrap w:val="0"/>
            <w:vAlign w:val="center"/>
          </w:tcPr>
          <w:p w14:paraId="72FB960B">
            <w:pPr>
              <w:keepNext w:val="0"/>
              <w:keepLines w:val="0"/>
              <w:pageBreakBefore w:val="0"/>
              <w:widowControl w:val="0"/>
              <w:shd w:val="clear" w:color="auto" w:fill="auto"/>
              <w:tabs>
                <w:tab w:val="right" w:leader="dot" w:pos="9628"/>
              </w:tabs>
              <w:kinsoku/>
              <w:wordWrap/>
              <w:overflowPunct/>
              <w:topLinePunct w:val="0"/>
              <w:autoSpaceDE w:val="0"/>
              <w:autoSpaceDN w:val="0"/>
              <w:bidi w:val="0"/>
              <w:adjustRightInd w:val="0"/>
              <w:spacing w:line="240" w:lineRule="exact"/>
              <w:jc w:val="center"/>
              <w:textAlignment w:val="auto"/>
              <w:rPr>
                <w:rFonts w:hint="default" w:ascii="Arial" w:hAnsi="Arial" w:eastAsia="宋体" w:cs="Arial"/>
                <w:b/>
                <w:bCs/>
                <w:color w:val="auto"/>
                <w:highlight w:val="none"/>
                <w:lang w:val="en-US" w:eastAsia="zh-CN"/>
              </w:rPr>
            </w:pPr>
            <w:r>
              <w:rPr>
                <w:rFonts w:hint="eastAsia" w:ascii="宋体" w:hAnsi="宋体" w:cs="宋体"/>
                <w:b w:val="0"/>
                <w:bCs w:val="0"/>
                <w:color w:val="auto"/>
                <w:kern w:val="2"/>
                <w:szCs w:val="21"/>
                <w:highlight w:val="none"/>
                <w:u w:val="none"/>
              </w:rPr>
              <w:t>建筑业</w:t>
            </w:r>
          </w:p>
        </w:tc>
        <w:tc>
          <w:tcPr>
            <w:tcW w:w="573" w:type="pct"/>
            <w:tcBorders>
              <w:bottom w:val="single" w:color="auto" w:sz="12" w:space="0"/>
            </w:tcBorders>
            <w:noWrap w:val="0"/>
            <w:vAlign w:val="center"/>
          </w:tcPr>
          <w:p w14:paraId="19269A0D">
            <w:pPr>
              <w:pStyle w:val="5"/>
              <w:keepNext w:val="0"/>
              <w:keepLines w:val="0"/>
              <w:pageBreakBefore w:val="0"/>
              <w:widowControl w:val="0"/>
              <w:shd w:val="clear" w:color="auto" w:fill="auto"/>
              <w:kinsoku/>
              <w:wordWrap/>
              <w:overflowPunct/>
              <w:topLinePunct w:val="0"/>
              <w:bidi w:val="0"/>
              <w:spacing w:line="24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6个月</w:t>
            </w:r>
          </w:p>
        </w:tc>
        <w:tc>
          <w:tcPr>
            <w:tcW w:w="626" w:type="pct"/>
            <w:tcBorders>
              <w:bottom w:val="single" w:color="auto" w:sz="12" w:space="0"/>
            </w:tcBorders>
            <w:noWrap w:val="0"/>
            <w:vAlign w:val="center"/>
          </w:tcPr>
          <w:p w14:paraId="1A66F6A7">
            <w:pPr>
              <w:pStyle w:val="5"/>
              <w:keepNext w:val="0"/>
              <w:keepLines w:val="0"/>
              <w:pageBreakBefore w:val="0"/>
              <w:widowControl w:val="0"/>
              <w:shd w:val="clear" w:color="auto" w:fill="auto"/>
              <w:kinsoku/>
              <w:wordWrap/>
              <w:overflowPunct/>
              <w:topLinePunct w:val="0"/>
              <w:bidi w:val="0"/>
              <w:spacing w:line="240" w:lineRule="exact"/>
              <w:textAlignment w:val="auto"/>
              <w:rPr>
                <w:rFonts w:ascii="宋体" w:hAnsi="宋体" w:cs="宋体"/>
                <w:color w:val="auto"/>
                <w:sz w:val="21"/>
                <w:szCs w:val="21"/>
                <w:highlight w:val="none"/>
                <w:lang w:eastAsia="zh-CN"/>
              </w:rPr>
            </w:pPr>
          </w:p>
        </w:tc>
      </w:tr>
      <w:bookmarkEnd w:id="2"/>
    </w:tbl>
    <w:p w14:paraId="72F2CF8B">
      <w:pPr>
        <w:pStyle w:val="2"/>
        <w:keepNext w:val="0"/>
        <w:keepLines w:val="0"/>
        <w:pageBreakBefore w:val="0"/>
        <w:widowControl w:val="0"/>
        <w:numPr>
          <w:ilvl w:val="0"/>
          <w:numId w:val="1"/>
        </w:numPr>
        <w:shd w:val="clear" w:color="auto" w:fill="auto"/>
        <w:tabs>
          <w:tab w:val="left" w:pos="420"/>
        </w:tabs>
        <w:kinsoku/>
        <w:wordWrap/>
        <w:overflowPunct/>
        <w:topLinePunct w:val="0"/>
        <w:autoSpaceDE/>
        <w:autoSpaceDN/>
        <w:bidi w:val="0"/>
        <w:snapToGrid w:val="0"/>
        <w:spacing w:line="240" w:lineRule="exact"/>
        <w:textAlignment w:val="auto"/>
        <w:rPr>
          <w:rFonts w:ascii="宋体" w:hAnsi="宋体" w:cs="Times New Roman"/>
          <w:b/>
          <w:bCs/>
          <w:color w:val="auto"/>
          <w:highlight w:val="none"/>
        </w:rPr>
      </w:pPr>
      <w:r>
        <w:rPr>
          <w:rFonts w:hint="eastAsia" w:ascii="宋体" w:hAnsi="宋体" w:cs="宋体"/>
          <w:b/>
          <w:bCs/>
          <w:color w:val="auto"/>
          <w:highlight w:val="none"/>
        </w:rPr>
        <w:t>供应商资格要求：</w:t>
      </w:r>
    </w:p>
    <w:p w14:paraId="5BCAD640">
      <w:pPr>
        <w:shd w:val="clear" w:color="auto" w:fill="auto"/>
        <w:spacing w:line="360" w:lineRule="auto"/>
        <w:ind w:firstLine="420" w:firstLineChars="200"/>
        <w:rPr>
          <w:rFonts w:ascii="宋体" w:hAnsi="宋体" w:cs="宋体"/>
          <w:color w:val="auto"/>
          <w:highlight w:val="none"/>
        </w:rPr>
      </w:pPr>
      <w:bookmarkStart w:id="0" w:name="_Hlk86848034"/>
      <w:r>
        <w:rPr>
          <w:rFonts w:hint="eastAsia" w:ascii="宋体" w:hAnsi="宋体" w:cs="宋体"/>
          <w:color w:val="auto"/>
          <w:highlight w:val="none"/>
        </w:rPr>
        <w:t>1.</w:t>
      </w:r>
      <w:r>
        <w:rPr>
          <w:rFonts w:hint="eastAsia" w:ascii="宋体" w:hAnsi="宋体" w:cs="宋体"/>
          <w:color w:val="auto"/>
          <w:highlight w:val="none"/>
        </w:rPr>
        <w:tab/>
      </w:r>
      <w:r>
        <w:rPr>
          <w:rFonts w:hint="eastAsia" w:ascii="宋体" w:hAnsi="宋体" w:cs="宋体"/>
          <w:color w:val="auto"/>
          <w:highlight w:val="none"/>
        </w:rPr>
        <w:t>供应商应具备以下条件，提供下列材料：</w:t>
      </w:r>
    </w:p>
    <w:p w14:paraId="50FF663C">
      <w:pPr>
        <w:shd w:val="clear" w:color="auto" w:fill="auto"/>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具有独立承担民事责任的能力：依据《响应承诺函》及其附件（附件为以下相关证照的复印件之一：1.企业法人提供企业法人营业执照；2.事业法人提供事业法人登记证；3.其他组织提供其他组织的营业执照或执业许可证），分支机构投标的，还须提供分支机构的营业执照（执业许可证）扫描件及总公司（总所）出具给分支机构的授权书。</w:t>
      </w:r>
    </w:p>
    <w:p w14:paraId="22F0BF3C">
      <w:pPr>
        <w:shd w:val="clear" w:color="auto" w:fill="auto"/>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2）有依法缴纳税收和社会保障资金的良好记录：依据《响应承诺函》。</w:t>
      </w:r>
    </w:p>
    <w:p w14:paraId="396ABE2E">
      <w:pPr>
        <w:shd w:val="clear" w:color="auto" w:fill="auto"/>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3）具有良好的商业信誉和健全的财务会计制度：依据《响应承诺函》。</w:t>
      </w:r>
    </w:p>
    <w:p w14:paraId="32E61424">
      <w:pPr>
        <w:shd w:val="clear" w:color="auto" w:fill="auto"/>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4）履行合同所必需的设备和专业技术能力：依据《响应承诺函》。</w:t>
      </w:r>
    </w:p>
    <w:p w14:paraId="57F5C96B">
      <w:pPr>
        <w:shd w:val="clear" w:color="auto" w:fill="auto"/>
        <w:spacing w:line="360" w:lineRule="auto"/>
        <w:ind w:firstLine="420" w:firstLineChars="200"/>
        <w:rPr>
          <w:rFonts w:ascii="宋体" w:hAnsi="宋体" w:cs="宋体"/>
          <w:color w:val="auto"/>
          <w:highlight w:val="none"/>
        </w:rPr>
      </w:pPr>
      <w:r>
        <w:rPr>
          <w:rFonts w:hint="eastAsia" w:ascii="宋体" w:hAnsi="宋体" w:cs="宋体"/>
          <w:color w:val="auto"/>
          <w:highlight w:val="none"/>
        </w:rPr>
        <w:t>5）参加采购活动前3年内，在经营活动中没有重大违法记录：依据《响应承诺函》。【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790C2E5A">
      <w:pPr>
        <w:numPr>
          <w:ilvl w:val="0"/>
          <w:numId w:val="2"/>
        </w:numPr>
        <w:shd w:val="clear" w:color="auto" w:fill="auto"/>
        <w:spacing w:line="360" w:lineRule="auto"/>
        <w:ind w:left="0" w:firstLine="420" w:firstLineChars="200"/>
        <w:rPr>
          <w:rFonts w:ascii="宋体" w:hAnsi="宋体" w:cs="宋体"/>
          <w:color w:val="auto"/>
          <w:highlight w:val="none"/>
        </w:rPr>
      </w:pPr>
      <w:r>
        <w:rPr>
          <w:rFonts w:hint="eastAsia" w:ascii="宋体" w:hAnsi="宋体" w:cs="宋体"/>
          <w:color w:val="auto"/>
          <w:highlight w:val="none"/>
        </w:rPr>
        <w:t>供应商未被列入“信用中国”网站(www.creditchina.gov.cn)“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35A4660B">
      <w:pPr>
        <w:numPr>
          <w:ilvl w:val="0"/>
          <w:numId w:val="2"/>
        </w:numPr>
        <w:shd w:val="clear" w:color="auto" w:fill="auto"/>
        <w:spacing w:line="360" w:lineRule="auto"/>
        <w:ind w:left="0" w:firstLine="420" w:firstLineChars="200"/>
        <w:rPr>
          <w:rFonts w:ascii="宋体" w:hAnsi="宋体" w:cs="宋体"/>
          <w:b w:val="0"/>
          <w:bCs w:val="0"/>
          <w:color w:val="auto"/>
          <w:highlight w:val="none"/>
        </w:rPr>
      </w:pPr>
      <w:r>
        <w:rPr>
          <w:rFonts w:hint="eastAsia" w:ascii="宋体" w:hAnsi="宋体" w:cs="宋体"/>
          <w:b w:val="0"/>
          <w:bCs w:val="0"/>
          <w:color w:val="auto"/>
          <w:highlight w:val="none"/>
        </w:rPr>
        <w:t>单位负责人为同一人或者存在直接控股、管理关系的不同供应商，不得同时参加本采购项目（或采购包）响应，依据《响应承诺函》。</w:t>
      </w:r>
    </w:p>
    <w:p w14:paraId="0B7C19EB">
      <w:pPr>
        <w:numPr>
          <w:ilvl w:val="0"/>
          <w:numId w:val="2"/>
        </w:numPr>
        <w:shd w:val="clear" w:color="auto" w:fill="auto"/>
        <w:spacing w:line="360" w:lineRule="auto"/>
        <w:ind w:left="0" w:firstLine="420" w:firstLineChars="200"/>
        <w:rPr>
          <w:rFonts w:hint="eastAsia" w:ascii="宋体" w:hAnsi="宋体" w:cs="宋体"/>
          <w:color w:val="auto"/>
          <w:highlight w:val="none"/>
        </w:rPr>
      </w:pPr>
      <w:r>
        <w:rPr>
          <w:rFonts w:hint="eastAsia" w:ascii="宋体" w:hAnsi="宋体" w:cs="宋体"/>
          <w:color w:val="auto"/>
          <w:highlight w:val="none"/>
        </w:rPr>
        <w:t>为本项目提供整体设计、规范编制或者项目管理、监理、检测等服务的供应商，不得再参与本项目响应，依据《响应承诺函》。</w:t>
      </w:r>
    </w:p>
    <w:p w14:paraId="48AD9493">
      <w:pPr>
        <w:numPr>
          <w:ilvl w:val="0"/>
          <w:numId w:val="2"/>
        </w:numPr>
        <w:shd w:val="clear" w:color="auto" w:fill="auto"/>
        <w:spacing w:line="360" w:lineRule="auto"/>
        <w:ind w:left="-2" w:leftChars="-1" w:firstLine="422" w:firstLineChars="201"/>
        <w:rPr>
          <w:rFonts w:hint="eastAsia" w:ascii="宋体" w:hAnsi="宋体" w:cs="宋体"/>
          <w:color w:val="auto"/>
          <w:highlight w:val="none"/>
        </w:rPr>
      </w:pPr>
      <w:r>
        <w:rPr>
          <w:rFonts w:hint="eastAsia" w:ascii="宋体" w:hAnsi="宋体" w:cs="宋体"/>
          <w:color w:val="auto"/>
          <w:highlight w:val="none"/>
        </w:rPr>
        <w:t>供应商必须符合法律法规规定的其他条件，依据《响应承诺函》。</w:t>
      </w:r>
    </w:p>
    <w:p w14:paraId="677E29FB">
      <w:pPr>
        <w:shd w:val="clear" w:color="auto" w:fill="auto"/>
        <w:spacing w:line="360" w:lineRule="auto"/>
        <w:ind w:firstLine="420" w:firstLineChars="200"/>
        <w:rPr>
          <w:rFonts w:hint="default" w:ascii="宋体" w:hAnsi="宋体" w:cs="宋体"/>
          <w:color w:val="auto"/>
          <w:highlight w:val="none"/>
          <w:lang w:val="en-US" w:eastAsia="zh-CN"/>
        </w:rPr>
      </w:pPr>
      <w:r>
        <w:rPr>
          <w:rFonts w:hint="eastAsia" w:ascii="宋体" w:hAnsi="宋体" w:cs="宋体"/>
          <w:color w:val="auto"/>
          <w:highlight w:val="none"/>
          <w:lang w:val="en-US" w:eastAsia="zh-CN"/>
        </w:rPr>
        <w:t>6.本项目属于专门面向中小企业采购，承接本项目的供应商应为中小微企业、监狱企业、残疾人福利性单位。须提供符合要求的《中小企业声明函》或《残疾人福利性单位声明函》或《监狱企业的证明文件》。</w:t>
      </w:r>
    </w:p>
    <w:p w14:paraId="774BE537">
      <w:pPr>
        <w:shd w:val="clear" w:color="auto" w:fill="auto"/>
        <w:spacing w:line="360" w:lineRule="auto"/>
        <w:ind w:firstLine="420" w:firstLineChars="200"/>
        <w:rPr>
          <w:rFonts w:ascii="宋体" w:hAnsi="宋体" w:cs="宋体"/>
          <w:color w:val="auto"/>
          <w:highlight w:val="none"/>
        </w:rPr>
      </w:pPr>
      <w:r>
        <w:rPr>
          <w:rFonts w:hint="eastAsia" w:ascii="宋体" w:hAnsi="宋体" w:cs="宋体"/>
          <w:color w:val="auto"/>
          <w:highlight w:val="none"/>
          <w:lang w:val="en-US" w:eastAsia="zh-CN"/>
        </w:rPr>
        <w:t xml:space="preserve">7. </w:t>
      </w:r>
      <w:r>
        <w:rPr>
          <w:rFonts w:hint="eastAsia" w:ascii="宋体" w:hAnsi="宋体" w:cs="宋体"/>
          <w:color w:val="auto"/>
          <w:highlight w:val="none"/>
        </w:rPr>
        <w:t>本采购</w:t>
      </w:r>
      <w:r>
        <w:rPr>
          <w:rFonts w:hint="eastAsia" w:ascii="宋体" w:hAnsi="宋体" w:cs="宋体"/>
          <w:color w:val="auto"/>
          <w:highlight w:val="none"/>
          <w:lang w:val="en-US" w:eastAsia="zh-CN"/>
        </w:rPr>
        <w:t>项目</w:t>
      </w:r>
      <w:r>
        <w:rPr>
          <w:rFonts w:hint="eastAsia" w:ascii="宋体" w:hAnsi="宋体" w:cs="宋体"/>
          <w:color w:val="auto"/>
          <w:highlight w:val="none"/>
        </w:rPr>
        <w:t>不接受联合体响应。</w:t>
      </w:r>
    </w:p>
    <w:p w14:paraId="0EBE2769">
      <w:pPr>
        <w:shd w:val="clear" w:color="auto" w:fill="auto"/>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8. </w:t>
      </w:r>
      <w:r>
        <w:rPr>
          <w:rFonts w:hint="eastAsia" w:ascii="宋体" w:hAnsi="宋体" w:eastAsia="宋体" w:cs="宋体"/>
          <w:b/>
          <w:bCs/>
          <w:color w:val="auto"/>
          <w:sz w:val="24"/>
          <w:szCs w:val="24"/>
          <w:highlight w:val="none"/>
        </w:rPr>
        <w:t>施</w:t>
      </w:r>
      <w:r>
        <w:rPr>
          <w:rFonts w:hint="eastAsia" w:ascii="宋体" w:hAnsi="宋体" w:eastAsia="宋体" w:cs="宋体"/>
          <w:b/>
          <w:bCs/>
          <w:color w:val="auto"/>
          <w:highlight w:val="none"/>
        </w:rPr>
        <w:t>工资质</w:t>
      </w:r>
      <w:r>
        <w:rPr>
          <w:rFonts w:hint="eastAsia" w:ascii="宋体" w:hAnsi="宋体" w:eastAsia="宋体" w:cs="宋体"/>
          <w:b/>
          <w:bCs/>
          <w:color w:val="auto"/>
          <w:highlight w:val="none"/>
          <w:lang w:val="en-US" w:eastAsia="zh-CN"/>
        </w:rPr>
        <w:t>要求</w:t>
      </w:r>
      <w:r>
        <w:rPr>
          <w:rFonts w:hint="eastAsia" w:ascii="宋体" w:hAnsi="宋体" w:eastAsia="宋体" w:cs="宋体"/>
          <w:color w:val="auto"/>
          <w:highlight w:val="none"/>
        </w:rPr>
        <w:t>：具有</w:t>
      </w:r>
      <w:r>
        <w:rPr>
          <w:rFonts w:hint="eastAsia" w:ascii="宋体" w:hAnsi="宋体" w:eastAsia="宋体" w:cs="宋体"/>
          <w:color w:val="auto"/>
          <w:highlight w:val="none"/>
          <w:lang w:val="en-US" w:eastAsia="zh-CN"/>
        </w:rPr>
        <w:t>有效期内</w:t>
      </w:r>
      <w:r>
        <w:rPr>
          <w:rFonts w:hint="eastAsia" w:ascii="宋体" w:hAnsi="宋体" w:eastAsia="宋体" w:cs="宋体"/>
          <w:color w:val="auto"/>
          <w:highlight w:val="none"/>
        </w:rPr>
        <w:t>承接本工程所需的</w:t>
      </w:r>
      <w:r>
        <w:rPr>
          <w:rFonts w:hint="eastAsia" w:ascii="宋体" w:hAnsi="宋体" w:eastAsia="宋体" w:cs="宋体"/>
          <w:color w:val="auto"/>
          <w:highlight w:val="none"/>
          <w:lang w:val="en-US" w:eastAsia="zh-CN"/>
        </w:rPr>
        <w:t>建筑工程施工总承包叁级（或以上）资质，并具有建设行政主管部门颁发的安全生产许可证。</w:t>
      </w:r>
    </w:p>
    <w:p w14:paraId="28A07778">
      <w:pPr>
        <w:shd w:val="clear" w:color="auto" w:fill="auto"/>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注：①须提供相关证书复印件，并加盖公章。</w:t>
      </w:r>
    </w:p>
    <w:p w14:paraId="6D40287C">
      <w:pPr>
        <w:shd w:val="clear" w:color="auto" w:fill="auto"/>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w:t>
      </w:r>
    </w:p>
    <w:p w14:paraId="5E7064B2">
      <w:pPr>
        <w:shd w:val="clear" w:color="auto" w:fill="auto"/>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p>
    <w:p w14:paraId="7BF18DA1">
      <w:pPr>
        <w:numPr>
          <w:ilvl w:val="0"/>
          <w:numId w:val="3"/>
        </w:numPr>
        <w:shd w:val="clear" w:color="auto" w:fill="auto"/>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供应商拟派本工程</w:t>
      </w:r>
      <w:r>
        <w:rPr>
          <w:rFonts w:hint="eastAsia" w:ascii="宋体" w:hAnsi="宋体" w:eastAsia="宋体" w:cs="宋体"/>
          <w:b/>
          <w:bCs/>
          <w:color w:val="auto"/>
          <w:highlight w:val="none"/>
          <w:lang w:val="en-US" w:eastAsia="zh-CN"/>
        </w:rPr>
        <w:t>项目负责人</w:t>
      </w:r>
      <w:r>
        <w:rPr>
          <w:rFonts w:hint="eastAsia" w:ascii="宋体" w:hAnsi="宋体" w:eastAsia="宋体" w:cs="宋体"/>
          <w:color w:val="auto"/>
          <w:highlight w:val="none"/>
          <w:lang w:val="en-US" w:eastAsia="zh-CN"/>
        </w:rPr>
        <w:t>资格要求：建筑工程专业二级（或以上）注册建造师资格；持有项目负责人在有效期内的安全生产考核合格证书（B类），或建筑施工企业项目负责人安全生产考核合格证书。</w:t>
      </w:r>
    </w:p>
    <w:p w14:paraId="38813A6C">
      <w:pPr>
        <w:shd w:val="clear" w:color="auto" w:fill="auto"/>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注：①须提供身份证、注册建造师证、安全生产考核合格证书复印件，并提供供应商在递交响应文件截止前6个月任意1个月为其购买社保的证明资料复印件并加盖公章。</w:t>
      </w:r>
    </w:p>
    <w:p w14:paraId="239E7FD5">
      <w:pPr>
        <w:shd w:val="clear" w:color="auto" w:fill="auto"/>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50CC8EA6">
      <w:pPr>
        <w:shd w:val="clear" w:color="auto" w:fill="auto"/>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4E74AB1F">
      <w:pPr>
        <w:shd w:val="clear" w:color="auto" w:fill="auto"/>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④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5532758F">
      <w:pPr>
        <w:numPr>
          <w:ilvl w:val="0"/>
          <w:numId w:val="3"/>
        </w:numPr>
        <w:shd w:val="clear" w:color="auto" w:fill="auto"/>
        <w:spacing w:line="360" w:lineRule="auto"/>
        <w:ind w:left="0" w:leftChars="0"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供应商拟派本工程</w:t>
      </w:r>
      <w:r>
        <w:rPr>
          <w:rFonts w:hint="eastAsia" w:ascii="宋体" w:hAnsi="宋体" w:eastAsia="宋体" w:cs="宋体"/>
          <w:b/>
          <w:bCs/>
          <w:color w:val="auto"/>
          <w:highlight w:val="none"/>
          <w:lang w:val="en-US" w:eastAsia="zh-CN"/>
        </w:rPr>
        <w:t>技术负责人</w:t>
      </w:r>
      <w:r>
        <w:rPr>
          <w:rFonts w:hint="eastAsia" w:ascii="宋体" w:hAnsi="宋体" w:eastAsia="宋体" w:cs="宋体"/>
          <w:color w:val="auto"/>
          <w:highlight w:val="none"/>
          <w:lang w:val="en-US" w:eastAsia="zh-CN"/>
        </w:rPr>
        <w:t>资格要求：工程类相关专业中级（或以上）工程师技术职称。</w:t>
      </w:r>
    </w:p>
    <w:p w14:paraId="4C6C8355">
      <w:pPr>
        <w:shd w:val="clear" w:color="auto" w:fill="auto"/>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注：①须提供身份证、职称证复印件，并提供供应商在递交响应文件截止前6个月任意1个月为其购买社保的证明资料复印件并加盖公章。</w:t>
      </w:r>
    </w:p>
    <w:p w14:paraId="738B9A93">
      <w:pPr>
        <w:pStyle w:val="6"/>
        <w:numPr>
          <w:ilvl w:val="0"/>
          <w:numId w:val="3"/>
        </w:numPr>
        <w:shd w:val="clear" w:color="auto" w:fill="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供应商拟派本工程</w:t>
      </w:r>
      <w:r>
        <w:rPr>
          <w:rFonts w:hint="eastAsia" w:ascii="宋体" w:hAnsi="宋体" w:eastAsia="宋体" w:cs="宋体"/>
          <w:b/>
          <w:bCs/>
          <w:color w:val="auto"/>
          <w:sz w:val="21"/>
          <w:szCs w:val="21"/>
          <w:highlight w:val="none"/>
          <w:lang w:val="en-US" w:eastAsia="zh-CN"/>
        </w:rPr>
        <w:t>专职安全员</w:t>
      </w:r>
      <w:r>
        <w:rPr>
          <w:rFonts w:hint="eastAsia" w:ascii="宋体" w:hAnsi="宋体" w:eastAsia="宋体" w:cs="宋体"/>
          <w:color w:val="auto"/>
          <w:sz w:val="21"/>
          <w:szCs w:val="21"/>
          <w:highlight w:val="none"/>
          <w:lang w:val="en-US" w:eastAsia="zh-CN"/>
        </w:rPr>
        <w:t>资格要求：须具有在有效期内的安全生产考核合格证书（C类）或建筑施工企业专职安全生产管理人员安全生产考核合格证书（C3）。</w:t>
      </w:r>
    </w:p>
    <w:p w14:paraId="034B2A9C">
      <w:pPr>
        <w:pStyle w:val="6"/>
        <w:shd w:val="clear" w:color="auto" w:fil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注：①须提供身份证、安全生产考核合格证书复印件，并提供供应商在递交响应文件截止前6个月任意1个月为其购买社保的证明资料复印件并加盖公章。</w:t>
      </w:r>
    </w:p>
    <w:p w14:paraId="404DB63D">
      <w:pPr>
        <w:pStyle w:val="6"/>
        <w:numPr>
          <w:ilvl w:val="0"/>
          <w:numId w:val="3"/>
        </w:numPr>
        <w:shd w:val="clear" w:color="auto" w:fill="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供应商已竞争性磋商文件要求签署盖章的《投标人声明》。</w:t>
      </w:r>
    </w:p>
    <w:p w14:paraId="70FB86C8">
      <w:pPr>
        <w:pStyle w:val="6"/>
        <w:numPr>
          <w:ilvl w:val="0"/>
          <w:numId w:val="3"/>
        </w:numPr>
        <w:shd w:val="clear" w:color="auto" w:fill="auto"/>
        <w:ind w:left="0" w:leftChars="0" w:firstLine="420" w:firstLineChars="20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供应商未被列入拖欠农民工工资失信联合</w:t>
      </w:r>
      <w:r>
        <w:rPr>
          <w:rFonts w:hint="eastAsia" w:ascii="宋体" w:hAnsi="宋体" w:eastAsia="宋体" w:cs="宋体"/>
          <w:color w:val="auto"/>
          <w:kern w:val="2"/>
          <w:sz w:val="21"/>
          <w:szCs w:val="21"/>
          <w:highlight w:val="none"/>
          <w:lang w:val="en-US" w:eastAsia="zh-CN" w:bidi="ar-SA"/>
        </w:rPr>
        <w:t>惩戒对象名单和失信被执行人，依据《响应承诺函》。</w:t>
      </w:r>
    </w:p>
    <w:p w14:paraId="1FAD5710">
      <w:pPr>
        <w:numPr>
          <w:ilvl w:val="0"/>
          <w:numId w:val="3"/>
        </w:numPr>
        <w:shd w:val="clear" w:color="auto" w:fill="auto"/>
        <w:spacing w:line="360" w:lineRule="auto"/>
        <w:ind w:left="0" w:leftChars="0" w:firstLine="420" w:firstLineChars="200"/>
        <w:rPr>
          <w:rFonts w:ascii="宋体" w:hAnsi="宋体" w:cs="宋体"/>
          <w:color w:val="auto"/>
          <w:highlight w:val="none"/>
        </w:rPr>
      </w:pPr>
      <w:r>
        <w:rPr>
          <w:rFonts w:hint="eastAsia" w:ascii="宋体" w:hAnsi="宋体" w:cs="宋体"/>
          <w:color w:val="auto"/>
          <w:highlight w:val="none"/>
        </w:rPr>
        <w:t>成功获取本项目竞争性磋商文件的供应商。</w:t>
      </w:r>
    </w:p>
    <w:bookmarkEnd w:id="0"/>
    <w:p w14:paraId="559D6BA6">
      <w:pPr>
        <w:shd w:val="clear" w:color="auto" w:fill="auto"/>
        <w:spacing w:line="360" w:lineRule="auto"/>
        <w:ind w:firstLine="422" w:firstLineChars="200"/>
        <w:rPr>
          <w:rFonts w:ascii="宋体" w:hAnsi="宋体"/>
          <w:b/>
          <w:bCs/>
          <w:color w:val="auto"/>
          <w:highlight w:val="none"/>
        </w:rPr>
      </w:pPr>
      <w:r>
        <w:rPr>
          <w:rFonts w:hint="eastAsia" w:ascii="宋体" w:hAnsi="宋体" w:cs="宋体"/>
          <w:b/>
          <w:bCs/>
          <w:color w:val="auto"/>
          <w:highlight w:val="none"/>
        </w:rPr>
        <w:t>七、竞争性磋商文件获取：</w:t>
      </w:r>
    </w:p>
    <w:p w14:paraId="0BF8851F">
      <w:pPr>
        <w:shd w:val="clear" w:color="auto" w:fill="auto"/>
        <w:spacing w:line="360" w:lineRule="auto"/>
        <w:ind w:firstLine="420" w:firstLineChars="200"/>
        <w:rPr>
          <w:rFonts w:ascii="宋体" w:hAnsi="宋体" w:cs="宋体"/>
          <w:color w:val="auto"/>
          <w:highlight w:val="none"/>
        </w:rPr>
      </w:pPr>
      <w:r>
        <w:rPr>
          <w:rFonts w:hint="eastAsia" w:ascii="宋体" w:hAnsi="宋体" w:cs="宋体"/>
          <w:color w:val="auto"/>
          <w:highlight w:val="none"/>
        </w:rPr>
        <w:t>符合供应商资格要求的供应商应当在</w:t>
      </w:r>
      <w:r>
        <w:rPr>
          <w:rFonts w:hint="eastAsia" w:ascii="宋体" w:hAnsi="宋体" w:cs="宋体"/>
          <w:b/>
          <w:bCs/>
          <w:color w:val="auto"/>
          <w:highlight w:val="none"/>
        </w:rPr>
        <w:t>2026年</w:t>
      </w:r>
      <w:r>
        <w:rPr>
          <w:rFonts w:hint="eastAsia" w:ascii="宋体" w:hAnsi="宋体" w:cs="宋体"/>
          <w:b/>
          <w:bCs/>
          <w:color w:val="auto"/>
          <w:highlight w:val="none"/>
          <w:lang w:val="en-US" w:eastAsia="zh-CN"/>
        </w:rPr>
        <w:t>7</w:t>
      </w:r>
      <w:r>
        <w:rPr>
          <w:rFonts w:hint="eastAsia" w:ascii="宋体" w:hAnsi="宋体" w:cs="宋体"/>
          <w:b/>
          <w:bCs/>
          <w:color w:val="auto"/>
          <w:highlight w:val="none"/>
        </w:rPr>
        <w:t>月</w:t>
      </w:r>
      <w:r>
        <w:rPr>
          <w:rFonts w:hint="eastAsia" w:ascii="宋体" w:hAnsi="宋体" w:cs="宋体"/>
          <w:b/>
          <w:bCs/>
          <w:color w:val="auto"/>
          <w:highlight w:val="none"/>
          <w:lang w:val="en-US" w:eastAsia="zh-CN"/>
        </w:rPr>
        <w:t>3</w:t>
      </w:r>
      <w:r>
        <w:rPr>
          <w:rFonts w:hint="eastAsia" w:ascii="宋体" w:hAnsi="宋体" w:cs="宋体"/>
          <w:b/>
          <w:bCs/>
          <w:color w:val="auto"/>
          <w:highlight w:val="none"/>
        </w:rPr>
        <w:t>日至2026年</w:t>
      </w:r>
      <w:r>
        <w:rPr>
          <w:rFonts w:hint="eastAsia" w:ascii="宋体" w:hAnsi="宋体" w:cs="宋体"/>
          <w:b/>
          <w:bCs/>
          <w:color w:val="auto"/>
          <w:highlight w:val="none"/>
          <w:lang w:val="en-US" w:eastAsia="zh-CN"/>
        </w:rPr>
        <w:t>7</w:t>
      </w:r>
      <w:r>
        <w:rPr>
          <w:rFonts w:hint="eastAsia" w:ascii="宋体" w:hAnsi="宋体" w:cs="宋体"/>
          <w:b/>
          <w:bCs/>
          <w:color w:val="auto"/>
          <w:highlight w:val="none"/>
        </w:rPr>
        <w:t>月</w:t>
      </w:r>
      <w:r>
        <w:rPr>
          <w:rFonts w:hint="eastAsia" w:ascii="宋体" w:hAnsi="宋体" w:cs="宋体"/>
          <w:b/>
          <w:bCs/>
          <w:color w:val="auto"/>
          <w:highlight w:val="none"/>
          <w:lang w:val="en-US" w:eastAsia="zh-CN"/>
        </w:rPr>
        <w:t>10</w:t>
      </w:r>
      <w:r>
        <w:rPr>
          <w:rFonts w:hint="eastAsia" w:ascii="宋体" w:hAnsi="宋体" w:cs="宋体"/>
          <w:b/>
          <w:bCs/>
          <w:color w:val="auto"/>
          <w:highlight w:val="none"/>
        </w:rPr>
        <w:t>日</w:t>
      </w:r>
      <w:r>
        <w:rPr>
          <w:rFonts w:hint="eastAsia" w:ascii="宋体" w:hAnsi="宋体" w:cs="宋体"/>
          <w:color w:val="auto"/>
          <w:highlight w:val="none"/>
        </w:rPr>
        <w:t>（提供期限自本公告发布之日起不得少于5个工作日），每天9:00至12:00，14:30至17:30（北京时间，法定节假日除外）内获取。</w:t>
      </w:r>
    </w:p>
    <w:p w14:paraId="0F56B30F">
      <w:pPr>
        <w:shd w:val="clear" w:color="auto" w:fill="auto"/>
        <w:spacing w:line="360" w:lineRule="auto"/>
        <w:ind w:firstLine="420" w:firstLineChars="200"/>
        <w:rPr>
          <w:rFonts w:ascii="宋体" w:hAnsi="宋体" w:cs="宋体"/>
          <w:color w:val="auto"/>
          <w:highlight w:val="none"/>
        </w:rPr>
      </w:pPr>
      <w:r>
        <w:rPr>
          <w:rFonts w:hint="eastAsia" w:ascii="宋体" w:hAnsi="宋体" w:cs="宋体"/>
          <w:color w:val="auto"/>
          <w:highlight w:val="none"/>
        </w:rPr>
        <w:t>线上获取方式：符合供应商资格要求的供应商应当在“获取竞争性磋商文件”规定时间内，将获取竞争性磋商文件的资料加盖公章后扫描发至83225943@qq.com邮箱，资料发送后供应商应电话通知采购代理（电话020-83851835），经采购代理工作人员确认后办理相关手续，供应商必须于“获取竞争性磋商文件”规定时间内</w:t>
      </w:r>
      <w:r>
        <w:rPr>
          <w:rFonts w:hint="eastAsia" w:ascii="宋体" w:hAnsi="宋体" w:cs="宋体"/>
          <w:color w:val="auto"/>
          <w:highlight w:val="none"/>
          <w:lang w:val="en-US" w:eastAsia="zh-CN"/>
        </w:rPr>
        <w:t>从</w:t>
      </w:r>
      <w:r>
        <w:rPr>
          <w:rFonts w:hint="eastAsia" w:ascii="宋体" w:hAnsi="宋体" w:cs="宋体"/>
          <w:b/>
          <w:bCs/>
          <w:color w:val="auto"/>
          <w:highlight w:val="none"/>
          <w:lang w:val="en-US" w:eastAsia="zh-CN"/>
        </w:rPr>
        <w:t>投标人银行基本账户</w:t>
      </w:r>
      <w:r>
        <w:rPr>
          <w:rFonts w:hint="eastAsia" w:ascii="宋体" w:hAnsi="宋体" w:cs="宋体"/>
          <w:color w:val="auto"/>
          <w:highlight w:val="none"/>
        </w:rPr>
        <w:t>向我司缴纳</w:t>
      </w:r>
      <w:r>
        <w:rPr>
          <w:rFonts w:hint="eastAsia" w:ascii="宋体" w:hAnsi="宋体" w:cs="宋体"/>
          <w:color w:val="auto"/>
          <w:highlight w:val="none"/>
          <w:lang w:val="en-US" w:eastAsia="zh-CN"/>
        </w:rPr>
        <w:t>竞争性磋商文件工本费</w:t>
      </w:r>
      <w:r>
        <w:rPr>
          <w:rFonts w:hint="eastAsia" w:ascii="宋体" w:hAnsi="宋体" w:cs="宋体"/>
          <w:color w:val="auto"/>
          <w:highlight w:val="none"/>
        </w:rPr>
        <w:t>，否则视为未完成获取竞争性磋商文件手续。竞争性磋商文件</w:t>
      </w:r>
      <w:r>
        <w:rPr>
          <w:rFonts w:hint="eastAsia" w:ascii="宋体" w:hAnsi="宋体" w:cs="宋体"/>
          <w:color w:val="auto"/>
          <w:highlight w:val="none"/>
          <w:lang w:val="en-US" w:eastAsia="zh-CN"/>
        </w:rPr>
        <w:t>费</w:t>
      </w:r>
      <w:r>
        <w:rPr>
          <w:rFonts w:hint="eastAsia" w:ascii="宋体" w:hAnsi="宋体" w:cs="宋体"/>
          <w:color w:val="auto"/>
          <w:highlight w:val="none"/>
        </w:rPr>
        <w:t>售后不退，获取成功后，纸质竞争性磋商文件如需邮寄的，由采购代理机构邮寄给供应商，运费自理，在任何情况下采购代理机构对邮寄过程中发生的迟交或遗失均不承担责任。</w:t>
      </w:r>
    </w:p>
    <w:p w14:paraId="09EAA4DC">
      <w:pPr>
        <w:shd w:val="clear" w:color="auto" w:fill="auto"/>
        <w:spacing w:line="360" w:lineRule="auto"/>
        <w:ind w:firstLine="420" w:firstLineChars="200"/>
        <w:rPr>
          <w:rFonts w:ascii="宋体" w:hAnsi="宋体" w:cs="宋体"/>
          <w:color w:val="auto"/>
          <w:highlight w:val="none"/>
        </w:rPr>
      </w:pPr>
      <w:r>
        <w:rPr>
          <w:rFonts w:hint="eastAsia" w:ascii="宋体" w:hAnsi="宋体" w:cs="宋体"/>
          <w:color w:val="auto"/>
          <w:highlight w:val="none"/>
        </w:rPr>
        <w:t>竞争性磋商</w:t>
      </w:r>
      <w:r>
        <w:rPr>
          <w:rFonts w:hint="eastAsia" w:ascii="宋体" w:hAnsi="宋体" w:cs="宋体"/>
          <w:color w:val="auto"/>
          <w:highlight w:val="none"/>
          <w:lang w:val="en-US" w:eastAsia="zh-CN"/>
        </w:rPr>
        <w:t>文件费</w:t>
      </w:r>
      <w:r>
        <w:rPr>
          <w:rFonts w:hint="eastAsia" w:ascii="宋体" w:hAnsi="宋体" w:cs="宋体"/>
          <w:color w:val="auto"/>
          <w:highlight w:val="none"/>
        </w:rPr>
        <w:t>：300元人民币，售后不退。</w:t>
      </w:r>
    </w:p>
    <w:p w14:paraId="313958B9">
      <w:pPr>
        <w:shd w:val="clear" w:color="auto" w:fill="auto"/>
        <w:spacing w:line="360" w:lineRule="auto"/>
        <w:ind w:firstLine="420" w:firstLineChars="200"/>
        <w:rPr>
          <w:rFonts w:ascii="宋体" w:hAnsi="宋体" w:cs="宋体"/>
          <w:color w:val="auto"/>
          <w:highlight w:val="none"/>
        </w:rPr>
      </w:pPr>
      <w:r>
        <w:rPr>
          <w:rFonts w:hint="eastAsia" w:ascii="宋体" w:hAnsi="宋体" w:cs="宋体"/>
          <w:color w:val="auto"/>
          <w:highlight w:val="none"/>
        </w:rPr>
        <w:t>收款单位：广州市云兴建设工程监理有限公司</w:t>
      </w:r>
    </w:p>
    <w:p w14:paraId="5AD6EE90">
      <w:pPr>
        <w:shd w:val="clear" w:color="auto" w:fill="auto"/>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开户行：中国工商银行股份有限公司广州建设六马路支行</w:t>
      </w:r>
    </w:p>
    <w:p w14:paraId="549EA054">
      <w:pPr>
        <w:shd w:val="clear" w:color="auto" w:fill="auto"/>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银行账号：3602011009001136937</w:t>
      </w:r>
    </w:p>
    <w:p w14:paraId="245D1FC5">
      <w:pPr>
        <w:shd w:val="clear" w:color="auto" w:fill="auto"/>
        <w:spacing w:line="360" w:lineRule="auto"/>
        <w:ind w:firstLine="420" w:firstLineChars="200"/>
        <w:rPr>
          <w:rFonts w:ascii="宋体" w:hAnsi="宋体" w:cs="宋体"/>
          <w:color w:val="auto"/>
          <w:highlight w:val="none"/>
        </w:rPr>
      </w:pPr>
      <w:r>
        <w:rPr>
          <w:rFonts w:hint="eastAsia" w:ascii="宋体" w:hAnsi="宋体" w:cs="宋体"/>
          <w:color w:val="auto"/>
          <w:highlight w:val="none"/>
        </w:rPr>
        <w:t>注：供应商凭以下相关证明材料（均须加盖供应商公章的扫描件）获取竞争性磋商文件：</w:t>
      </w:r>
    </w:p>
    <w:p w14:paraId="0B91F6EB">
      <w:pPr>
        <w:shd w:val="clear" w:color="auto" w:fill="auto"/>
        <w:spacing w:line="360" w:lineRule="auto"/>
        <w:ind w:firstLine="420" w:firstLineChars="200"/>
        <w:rPr>
          <w:rFonts w:ascii="宋体" w:hAnsi="宋体" w:cs="宋体"/>
          <w:color w:val="auto"/>
          <w:highlight w:val="none"/>
        </w:rPr>
      </w:pPr>
      <w:r>
        <w:rPr>
          <w:rFonts w:hint="eastAsia" w:ascii="宋体" w:hAnsi="宋体" w:cs="宋体"/>
          <w:color w:val="auto"/>
          <w:highlight w:val="none"/>
        </w:rPr>
        <w:t>（1）提供营业执照扫描件。</w:t>
      </w:r>
    </w:p>
    <w:p w14:paraId="1A59356D">
      <w:pPr>
        <w:shd w:val="clear" w:color="auto" w:fill="auto"/>
        <w:spacing w:line="360" w:lineRule="auto"/>
        <w:ind w:firstLine="420" w:firstLineChars="200"/>
        <w:rPr>
          <w:rFonts w:ascii="宋体" w:hAnsi="宋体" w:cs="宋体"/>
          <w:color w:val="auto"/>
          <w:highlight w:val="none"/>
        </w:rPr>
      </w:pPr>
      <w:r>
        <w:rPr>
          <w:rFonts w:hint="eastAsia" w:ascii="宋体" w:hAnsi="宋体" w:cs="宋体"/>
          <w:color w:val="auto"/>
          <w:highlight w:val="none"/>
        </w:rPr>
        <w:t>（2）法定代表人证明书及法定代表人授权委托书（非法定代表人办理时提供）扫描件。</w:t>
      </w:r>
    </w:p>
    <w:p w14:paraId="62F9D568">
      <w:pPr>
        <w:shd w:val="clear" w:color="auto" w:fill="auto"/>
        <w:spacing w:line="360" w:lineRule="auto"/>
        <w:ind w:firstLine="420" w:firstLineChars="200"/>
        <w:rPr>
          <w:rFonts w:ascii="宋体" w:hAnsi="宋体" w:cs="宋体"/>
          <w:color w:val="auto"/>
          <w:highlight w:val="none"/>
        </w:rPr>
      </w:pPr>
      <w:r>
        <w:rPr>
          <w:rFonts w:hint="eastAsia" w:ascii="宋体" w:hAnsi="宋体" w:cs="宋体"/>
          <w:color w:val="auto"/>
          <w:highlight w:val="none"/>
        </w:rPr>
        <w:t>（3）供应商授权代表身份证扫描件。</w:t>
      </w:r>
    </w:p>
    <w:p w14:paraId="612D17EA">
      <w:pPr>
        <w:shd w:val="clear" w:color="auto" w:fill="auto"/>
        <w:spacing w:line="360" w:lineRule="auto"/>
        <w:ind w:firstLine="420" w:firstLineChars="200"/>
        <w:rPr>
          <w:rFonts w:ascii="宋体" w:hAnsi="宋体" w:cs="宋体"/>
          <w:color w:val="auto"/>
          <w:highlight w:val="none"/>
        </w:rPr>
      </w:pPr>
      <w:r>
        <w:rPr>
          <w:rFonts w:hint="eastAsia" w:ascii="宋体" w:hAnsi="宋体" w:cs="宋体"/>
          <w:color w:val="auto"/>
          <w:highlight w:val="none"/>
        </w:rPr>
        <w:t>（4）《竞争性磋商文件登记表》（详见附件）。</w:t>
      </w:r>
    </w:p>
    <w:p w14:paraId="139702E4">
      <w:pPr>
        <w:shd w:val="clear" w:color="auto" w:fill="auto"/>
        <w:spacing w:line="360" w:lineRule="auto"/>
        <w:ind w:firstLine="420" w:firstLineChars="200"/>
        <w:rPr>
          <w:rFonts w:hint="eastAsia" w:ascii="宋体" w:hAnsi="宋体"/>
          <w:color w:val="auto"/>
          <w:highlight w:val="none"/>
        </w:rPr>
      </w:pPr>
      <w:r>
        <w:rPr>
          <w:rFonts w:hint="eastAsia" w:ascii="宋体" w:hAnsi="宋体" w:cs="宋体"/>
          <w:color w:val="auto"/>
          <w:highlight w:val="none"/>
        </w:rPr>
        <w:t>（5）</w:t>
      </w:r>
      <w:r>
        <w:rPr>
          <w:rFonts w:hint="eastAsia" w:ascii="宋体" w:hAnsi="宋体" w:cs="宋体"/>
          <w:color w:val="auto"/>
          <w:highlight w:val="none"/>
          <w:lang w:val="en-US" w:eastAsia="zh-CN"/>
        </w:rPr>
        <w:t>竞争性磋商文件</w:t>
      </w:r>
      <w:r>
        <w:rPr>
          <w:rFonts w:hint="eastAsia" w:ascii="宋体" w:hAnsi="宋体" w:cs="宋体"/>
          <w:color w:val="auto"/>
          <w:highlight w:val="none"/>
        </w:rPr>
        <w:t>费支付凭证扫描件。</w:t>
      </w:r>
    </w:p>
    <w:p w14:paraId="2AA5C581">
      <w:pPr>
        <w:shd w:val="clear" w:color="auto" w:fill="auto"/>
        <w:spacing w:line="360" w:lineRule="auto"/>
        <w:ind w:firstLine="422" w:firstLineChars="200"/>
        <w:rPr>
          <w:rFonts w:ascii="宋体" w:hAnsi="宋体"/>
          <w:color w:val="auto"/>
          <w:highlight w:val="none"/>
        </w:rPr>
      </w:pPr>
      <w:r>
        <w:rPr>
          <w:rFonts w:hint="eastAsia" w:ascii="宋体" w:hAnsi="宋体" w:cs="宋体"/>
          <w:b/>
          <w:bCs/>
          <w:color w:val="auto"/>
          <w:highlight w:val="none"/>
        </w:rPr>
        <w:t>八、提交磋商响应文件时间：2026年</w:t>
      </w:r>
      <w:r>
        <w:rPr>
          <w:rFonts w:hint="eastAsia" w:ascii="宋体" w:hAnsi="宋体" w:cs="宋体"/>
          <w:b/>
          <w:bCs/>
          <w:color w:val="auto"/>
          <w:highlight w:val="none"/>
          <w:lang w:val="en-US" w:eastAsia="zh-CN"/>
        </w:rPr>
        <w:t>7</w:t>
      </w:r>
      <w:r>
        <w:rPr>
          <w:rFonts w:hint="eastAsia" w:ascii="宋体" w:hAnsi="宋体" w:cs="宋体"/>
          <w:b/>
          <w:bCs/>
          <w:color w:val="auto"/>
          <w:highlight w:val="none"/>
        </w:rPr>
        <w:t>月</w:t>
      </w:r>
      <w:r>
        <w:rPr>
          <w:rFonts w:hint="eastAsia" w:ascii="宋体" w:hAnsi="宋体" w:cs="宋体"/>
          <w:b/>
          <w:bCs/>
          <w:color w:val="auto"/>
          <w:highlight w:val="none"/>
          <w:lang w:val="en-US" w:eastAsia="zh-CN"/>
        </w:rPr>
        <w:t>14</w:t>
      </w:r>
      <w:r>
        <w:rPr>
          <w:rFonts w:hint="eastAsia" w:ascii="宋体" w:hAnsi="宋体" w:cs="宋体"/>
          <w:b/>
          <w:bCs/>
          <w:color w:val="auto"/>
          <w:highlight w:val="none"/>
        </w:rPr>
        <w:t>日1</w:t>
      </w:r>
      <w:r>
        <w:rPr>
          <w:rFonts w:hint="eastAsia" w:ascii="宋体" w:hAnsi="宋体" w:cs="宋体"/>
          <w:b/>
          <w:bCs/>
          <w:color w:val="auto"/>
          <w:highlight w:val="none"/>
          <w:lang w:val="en-US" w:eastAsia="zh-CN"/>
        </w:rPr>
        <w:t>4</w:t>
      </w:r>
      <w:r>
        <w:rPr>
          <w:rFonts w:hint="eastAsia" w:ascii="宋体" w:hAnsi="宋体" w:cs="宋体"/>
          <w:b/>
          <w:bCs/>
          <w:color w:val="auto"/>
          <w:highlight w:val="none"/>
        </w:rPr>
        <w:t>时</w:t>
      </w:r>
      <w:r>
        <w:rPr>
          <w:rFonts w:hint="eastAsia" w:ascii="宋体" w:hAnsi="宋体" w:cs="宋体"/>
          <w:b/>
          <w:bCs/>
          <w:color w:val="auto"/>
          <w:highlight w:val="none"/>
          <w:lang w:val="en-US" w:eastAsia="zh-CN"/>
        </w:rPr>
        <w:t>3</w:t>
      </w:r>
      <w:r>
        <w:rPr>
          <w:rFonts w:hint="eastAsia" w:ascii="宋体" w:hAnsi="宋体" w:cs="宋体"/>
          <w:b/>
          <w:bCs/>
          <w:color w:val="auto"/>
          <w:highlight w:val="none"/>
        </w:rPr>
        <w:t>0分</w:t>
      </w:r>
      <w:r>
        <w:rPr>
          <w:rFonts w:hint="eastAsia" w:ascii="宋体" w:hAnsi="宋体" w:cs="宋体"/>
          <w:b/>
          <w:bCs/>
          <w:color w:val="auto"/>
          <w:highlight w:val="none"/>
          <w:lang w:val="en-US" w:eastAsia="zh-CN"/>
        </w:rPr>
        <w:t>至</w:t>
      </w:r>
      <w:r>
        <w:rPr>
          <w:rFonts w:hint="eastAsia" w:ascii="宋体" w:hAnsi="宋体" w:cs="宋体"/>
          <w:b/>
          <w:bCs/>
          <w:color w:val="auto"/>
          <w:highlight w:val="none"/>
        </w:rPr>
        <w:t xml:space="preserve"> 15 时00分</w:t>
      </w:r>
    </w:p>
    <w:p w14:paraId="4E10D1C1">
      <w:pPr>
        <w:shd w:val="clear" w:color="auto" w:fill="auto"/>
        <w:spacing w:line="360" w:lineRule="auto"/>
        <w:ind w:firstLine="422" w:firstLineChars="200"/>
        <w:rPr>
          <w:rFonts w:ascii="宋体" w:hAnsi="宋体"/>
          <w:color w:val="auto"/>
          <w:highlight w:val="none"/>
        </w:rPr>
      </w:pPr>
      <w:r>
        <w:rPr>
          <w:rFonts w:hint="eastAsia" w:ascii="宋体" w:hAnsi="宋体" w:cs="宋体"/>
          <w:b/>
          <w:bCs/>
          <w:color w:val="auto"/>
          <w:highlight w:val="none"/>
        </w:rPr>
        <w:t>九、提交磋商响应文件地点：</w:t>
      </w:r>
      <w:r>
        <w:rPr>
          <w:rFonts w:hint="eastAsia" w:ascii="宋体" w:hAnsi="宋体" w:cs="宋体"/>
          <w:color w:val="auto"/>
          <w:highlight w:val="none"/>
        </w:rPr>
        <w:t>广州市白云区下塘西路686号302开标室</w:t>
      </w:r>
    </w:p>
    <w:p w14:paraId="3B1872B8">
      <w:pPr>
        <w:shd w:val="clear" w:color="auto" w:fill="auto"/>
        <w:spacing w:line="360" w:lineRule="auto"/>
        <w:ind w:firstLine="422" w:firstLineChars="200"/>
        <w:rPr>
          <w:rFonts w:ascii="宋体" w:hAnsi="宋体"/>
          <w:color w:val="auto"/>
          <w:highlight w:val="none"/>
        </w:rPr>
      </w:pPr>
      <w:r>
        <w:rPr>
          <w:rFonts w:hint="eastAsia" w:ascii="宋体" w:hAnsi="宋体" w:cs="宋体"/>
          <w:b/>
          <w:bCs/>
          <w:color w:val="auto"/>
          <w:highlight w:val="none"/>
        </w:rPr>
        <w:t>十、磋商时间：2026年</w:t>
      </w:r>
      <w:r>
        <w:rPr>
          <w:rFonts w:hint="eastAsia" w:ascii="宋体" w:hAnsi="宋体" w:cs="宋体"/>
          <w:b/>
          <w:bCs/>
          <w:color w:val="auto"/>
          <w:highlight w:val="none"/>
          <w:lang w:val="en-US" w:eastAsia="zh-CN"/>
        </w:rPr>
        <w:t>7</w:t>
      </w:r>
      <w:r>
        <w:rPr>
          <w:rFonts w:hint="eastAsia" w:ascii="宋体" w:hAnsi="宋体" w:cs="宋体"/>
          <w:b/>
          <w:bCs/>
          <w:color w:val="auto"/>
          <w:highlight w:val="none"/>
        </w:rPr>
        <w:t>月</w:t>
      </w:r>
      <w:r>
        <w:rPr>
          <w:rFonts w:hint="eastAsia" w:ascii="宋体" w:hAnsi="宋体" w:cs="宋体"/>
          <w:b/>
          <w:bCs/>
          <w:color w:val="auto"/>
          <w:highlight w:val="none"/>
          <w:lang w:val="en-US" w:eastAsia="zh-CN"/>
        </w:rPr>
        <w:t>14</w:t>
      </w:r>
      <w:r>
        <w:rPr>
          <w:rFonts w:hint="eastAsia" w:ascii="宋体" w:hAnsi="宋体" w:cs="宋体"/>
          <w:b/>
          <w:bCs/>
          <w:color w:val="auto"/>
          <w:highlight w:val="none"/>
        </w:rPr>
        <w:t>日 15 时00分</w:t>
      </w:r>
    </w:p>
    <w:p w14:paraId="06CA5C43">
      <w:pPr>
        <w:shd w:val="clear" w:color="auto" w:fill="auto"/>
        <w:spacing w:line="360" w:lineRule="auto"/>
        <w:ind w:firstLine="422" w:firstLineChars="200"/>
        <w:rPr>
          <w:rFonts w:ascii="宋体" w:hAnsi="宋体"/>
          <w:color w:val="auto"/>
          <w:highlight w:val="none"/>
        </w:rPr>
      </w:pPr>
      <w:r>
        <w:rPr>
          <w:rFonts w:hint="eastAsia" w:ascii="宋体" w:hAnsi="宋体" w:cs="宋体"/>
          <w:b/>
          <w:bCs/>
          <w:color w:val="auto"/>
          <w:highlight w:val="none"/>
        </w:rPr>
        <w:t>十一、磋商地点：</w:t>
      </w:r>
      <w:r>
        <w:rPr>
          <w:rFonts w:hint="eastAsia" w:ascii="宋体" w:hAnsi="宋体" w:cs="宋体"/>
          <w:color w:val="auto"/>
          <w:highlight w:val="none"/>
        </w:rPr>
        <w:t>广州市白云区下塘西路686号302开标室。</w:t>
      </w:r>
    </w:p>
    <w:p w14:paraId="68722199">
      <w:pPr>
        <w:shd w:val="clear" w:color="auto" w:fill="auto"/>
        <w:spacing w:line="360" w:lineRule="auto"/>
        <w:ind w:firstLine="422" w:firstLineChars="200"/>
        <w:rPr>
          <w:rFonts w:ascii="宋体" w:hAnsi="宋体"/>
          <w:color w:val="auto"/>
          <w:highlight w:val="none"/>
        </w:rPr>
      </w:pPr>
      <w:r>
        <w:rPr>
          <w:rFonts w:hint="eastAsia" w:ascii="宋体" w:hAnsi="宋体" w:cs="宋体"/>
          <w:b/>
          <w:bCs/>
          <w:color w:val="auto"/>
          <w:highlight w:val="none"/>
        </w:rPr>
        <w:t>十二、本公告期限</w:t>
      </w: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个工作日）：自本公告发布之日起</w:t>
      </w:r>
      <w:r>
        <w:rPr>
          <w:rFonts w:ascii="宋体" w:hAnsi="宋体" w:cs="宋体"/>
          <w:color w:val="auto"/>
          <w:highlight w:val="none"/>
        </w:rPr>
        <w:t>3</w:t>
      </w:r>
      <w:r>
        <w:rPr>
          <w:rFonts w:hint="eastAsia" w:ascii="宋体" w:hAnsi="宋体" w:cs="宋体"/>
          <w:color w:val="auto"/>
          <w:highlight w:val="none"/>
        </w:rPr>
        <w:t>个工作日。</w:t>
      </w:r>
    </w:p>
    <w:p w14:paraId="68938102">
      <w:pPr>
        <w:shd w:val="clear" w:color="auto" w:fill="auto"/>
        <w:spacing w:line="360" w:lineRule="auto"/>
        <w:ind w:firstLine="422" w:firstLineChars="200"/>
        <w:rPr>
          <w:rFonts w:ascii="宋体" w:hAnsi="宋体"/>
          <w:b/>
          <w:bCs/>
          <w:color w:val="auto"/>
          <w:highlight w:val="none"/>
        </w:rPr>
      </w:pPr>
      <w:r>
        <w:rPr>
          <w:rFonts w:hint="eastAsia" w:ascii="宋体" w:hAnsi="宋体" w:cs="宋体"/>
          <w:b/>
          <w:bCs/>
          <w:color w:val="auto"/>
          <w:highlight w:val="none"/>
        </w:rPr>
        <w:t>十三、联系事项</w:t>
      </w:r>
    </w:p>
    <w:p w14:paraId="585019A7">
      <w:pPr>
        <w:shd w:val="clear" w:color="auto" w:fill="auto"/>
        <w:spacing w:line="360" w:lineRule="auto"/>
        <w:ind w:firstLine="422" w:firstLineChars="200"/>
        <w:rPr>
          <w:rFonts w:ascii="宋体" w:hAnsi="宋体"/>
          <w:b/>
          <w:color w:val="auto"/>
          <w:highlight w:val="none"/>
        </w:rPr>
      </w:pPr>
      <w:r>
        <w:rPr>
          <w:rFonts w:hint="eastAsia" w:ascii="宋体" w:hAnsi="宋体" w:cs="宋体"/>
          <w:b/>
          <w:color w:val="auto"/>
          <w:highlight w:val="none"/>
        </w:rPr>
        <w:t>（一）采购人</w:t>
      </w:r>
    </w:p>
    <w:p w14:paraId="0BE67DAE">
      <w:pPr>
        <w:shd w:val="clear" w:color="auto" w:fill="auto"/>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采购人名称：</w:t>
      </w:r>
      <w:r>
        <w:rPr>
          <w:rFonts w:hint="eastAsia" w:ascii="宋体" w:hAnsi="宋体" w:cs="宋体"/>
          <w:color w:val="auto"/>
          <w:highlight w:val="none"/>
          <w:lang w:eastAsia="zh-CN"/>
        </w:rPr>
        <w:t>广州市白云区人民政府石井街道办事处</w:t>
      </w:r>
    </w:p>
    <w:p w14:paraId="0E805440">
      <w:pPr>
        <w:shd w:val="clear" w:color="auto" w:fill="auto"/>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地址：</w:t>
      </w:r>
      <w:r>
        <w:rPr>
          <w:rFonts w:ascii="宋体" w:hAnsi="宋体" w:cs="宋体"/>
          <w:color w:val="auto"/>
          <w:highlight w:val="none"/>
        </w:rPr>
        <w:t xml:space="preserve"> </w:t>
      </w:r>
      <w:r>
        <w:rPr>
          <w:rFonts w:hint="eastAsia" w:ascii="宋体" w:hAnsi="宋体" w:cs="宋体"/>
          <w:color w:val="auto"/>
          <w:highlight w:val="none"/>
          <w:lang w:eastAsia="zh-CN"/>
        </w:rPr>
        <w:t>广州市白云区石井街石丰路1号</w:t>
      </w:r>
    </w:p>
    <w:p w14:paraId="1BC34281">
      <w:pPr>
        <w:shd w:val="clear" w:color="auto" w:fill="auto"/>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联系人：</w:t>
      </w:r>
      <w:r>
        <w:rPr>
          <w:rFonts w:hint="eastAsia" w:ascii="宋体" w:hAnsi="宋体" w:cs="宋体"/>
          <w:color w:val="auto"/>
          <w:highlight w:val="none"/>
          <w:lang w:eastAsia="zh-CN"/>
        </w:rPr>
        <w:t>李工</w:t>
      </w:r>
    </w:p>
    <w:p w14:paraId="4DB8CE98">
      <w:pPr>
        <w:shd w:val="clear" w:color="auto" w:fill="auto"/>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 xml:space="preserve">电话： </w:t>
      </w:r>
      <w:r>
        <w:rPr>
          <w:rFonts w:hint="eastAsia" w:ascii="宋体" w:hAnsi="宋体" w:cs="宋体"/>
          <w:color w:val="auto"/>
          <w:highlight w:val="none"/>
          <w:lang w:eastAsia="zh-CN"/>
        </w:rPr>
        <w:t>020-36004312</w:t>
      </w:r>
    </w:p>
    <w:p w14:paraId="1394D0D5">
      <w:pPr>
        <w:shd w:val="clear" w:color="auto" w:fill="auto"/>
        <w:spacing w:line="360" w:lineRule="auto"/>
        <w:ind w:firstLine="422" w:firstLineChars="201"/>
        <w:rPr>
          <w:rFonts w:hint="eastAsia" w:ascii="宋体" w:hAnsi="宋体"/>
          <w:color w:val="auto"/>
          <w:highlight w:val="none"/>
        </w:rPr>
      </w:pPr>
    </w:p>
    <w:p w14:paraId="6D4B423C">
      <w:pPr>
        <w:shd w:val="clear" w:color="auto" w:fill="auto"/>
        <w:spacing w:line="360" w:lineRule="auto"/>
        <w:ind w:firstLine="424" w:firstLineChars="201"/>
        <w:rPr>
          <w:rFonts w:ascii="宋体" w:hAnsi="宋体"/>
          <w:b/>
          <w:color w:val="auto"/>
          <w:highlight w:val="none"/>
        </w:rPr>
      </w:pPr>
      <w:r>
        <w:rPr>
          <w:rFonts w:hint="eastAsia" w:ascii="宋体" w:hAnsi="宋体" w:cs="宋体"/>
          <w:b/>
          <w:color w:val="auto"/>
          <w:highlight w:val="none"/>
        </w:rPr>
        <w:t>（二）采购代理机构联系方式</w:t>
      </w:r>
    </w:p>
    <w:p w14:paraId="5F3019D0">
      <w:pPr>
        <w:shd w:val="clear" w:color="auto" w:fill="auto"/>
        <w:spacing w:line="360" w:lineRule="auto"/>
        <w:ind w:firstLine="422" w:firstLineChars="201"/>
        <w:rPr>
          <w:rFonts w:ascii="宋体" w:hAnsi="宋体"/>
          <w:color w:val="auto"/>
          <w:highlight w:val="none"/>
        </w:rPr>
      </w:pPr>
      <w:r>
        <w:rPr>
          <w:rFonts w:hint="eastAsia" w:ascii="宋体" w:hAnsi="宋体" w:cs="宋体"/>
          <w:color w:val="auto"/>
          <w:highlight w:val="none"/>
        </w:rPr>
        <w:t>名称：广州市云兴建设工程监理有限公司</w:t>
      </w:r>
    </w:p>
    <w:p w14:paraId="40AD3575">
      <w:pPr>
        <w:shd w:val="clear" w:color="auto" w:fill="auto"/>
        <w:spacing w:line="360" w:lineRule="auto"/>
        <w:ind w:firstLine="422" w:firstLineChars="201"/>
        <w:rPr>
          <w:rFonts w:ascii="宋体" w:hAnsi="宋体"/>
          <w:color w:val="auto"/>
          <w:highlight w:val="none"/>
        </w:rPr>
      </w:pPr>
      <w:r>
        <w:rPr>
          <w:rFonts w:hint="eastAsia" w:ascii="宋体" w:hAnsi="宋体" w:cs="宋体"/>
          <w:color w:val="auto"/>
          <w:highlight w:val="none"/>
        </w:rPr>
        <w:t>地址：广州市白云区下塘西路686号302室</w:t>
      </w:r>
    </w:p>
    <w:p w14:paraId="18CD4599">
      <w:pPr>
        <w:shd w:val="clear" w:color="auto" w:fill="auto"/>
        <w:spacing w:line="360" w:lineRule="auto"/>
        <w:ind w:firstLine="422" w:firstLineChars="201"/>
        <w:rPr>
          <w:rFonts w:ascii="宋体" w:hAnsi="宋体"/>
          <w:color w:val="auto"/>
          <w:highlight w:val="none"/>
        </w:rPr>
      </w:pPr>
      <w:r>
        <w:rPr>
          <w:rFonts w:hint="eastAsia" w:ascii="宋体" w:hAnsi="宋体" w:cs="宋体"/>
          <w:color w:val="auto"/>
          <w:highlight w:val="none"/>
        </w:rPr>
        <w:t>联系人：岑小姐</w:t>
      </w:r>
    </w:p>
    <w:p w14:paraId="0123E81E">
      <w:pPr>
        <w:shd w:val="clear" w:color="auto" w:fill="auto"/>
        <w:spacing w:line="360" w:lineRule="auto"/>
        <w:ind w:firstLine="422" w:firstLineChars="201"/>
        <w:rPr>
          <w:rFonts w:ascii="宋体" w:hAnsi="宋体"/>
          <w:color w:val="auto"/>
          <w:highlight w:val="none"/>
        </w:rPr>
      </w:pPr>
      <w:r>
        <w:rPr>
          <w:rFonts w:hint="eastAsia" w:ascii="宋体" w:hAnsi="宋体" w:cs="宋体"/>
          <w:color w:val="auto"/>
          <w:highlight w:val="none"/>
        </w:rPr>
        <w:t>联系电话：</w:t>
      </w:r>
      <w:r>
        <w:rPr>
          <w:rFonts w:ascii="宋体" w:hAnsi="宋体" w:cs="宋体"/>
          <w:color w:val="auto"/>
          <w:highlight w:val="none"/>
        </w:rPr>
        <w:t>020-83851835</w:t>
      </w:r>
    </w:p>
    <w:p w14:paraId="3CA7E5D7">
      <w:pPr>
        <w:shd w:val="clear" w:color="auto" w:fill="auto"/>
        <w:spacing w:line="360" w:lineRule="auto"/>
        <w:ind w:firstLine="422" w:firstLineChars="201"/>
        <w:rPr>
          <w:rFonts w:ascii="宋体" w:hAnsi="宋体"/>
          <w:color w:val="auto"/>
          <w:highlight w:val="none"/>
        </w:rPr>
      </w:pPr>
      <w:r>
        <w:rPr>
          <w:rFonts w:hint="eastAsia" w:ascii="宋体" w:hAnsi="宋体" w:cs="宋体"/>
          <w:color w:val="auto"/>
          <w:highlight w:val="none"/>
        </w:rPr>
        <w:t>传真：</w:t>
      </w:r>
      <w:r>
        <w:rPr>
          <w:rFonts w:ascii="宋体" w:hAnsi="宋体" w:cs="宋体"/>
          <w:color w:val="auto"/>
          <w:highlight w:val="none"/>
        </w:rPr>
        <w:t>020-83851835</w:t>
      </w:r>
    </w:p>
    <w:p w14:paraId="38F5B2A7">
      <w:pPr>
        <w:shd w:val="clear" w:color="auto" w:fill="auto"/>
        <w:spacing w:line="360" w:lineRule="auto"/>
        <w:ind w:firstLine="422" w:firstLineChars="201"/>
        <w:rPr>
          <w:rFonts w:ascii="宋体" w:hAnsi="宋体"/>
          <w:color w:val="auto"/>
          <w:highlight w:val="none"/>
        </w:rPr>
      </w:pPr>
      <w:r>
        <w:rPr>
          <w:rFonts w:ascii="宋体" w:hAnsi="宋体" w:cs="宋体"/>
          <w:color w:val="auto"/>
          <w:highlight w:val="none"/>
        </w:rPr>
        <w:t>E-mail: 83225943@qq.com</w:t>
      </w:r>
    </w:p>
    <w:p w14:paraId="3B676A04">
      <w:pPr>
        <w:shd w:val="clear" w:color="auto" w:fill="auto"/>
        <w:spacing w:line="360" w:lineRule="auto"/>
        <w:jc w:val="right"/>
        <w:rPr>
          <w:rFonts w:hint="eastAsia" w:ascii="宋体" w:hAnsi="宋体"/>
          <w:color w:val="auto"/>
          <w:highlight w:val="none"/>
        </w:rPr>
      </w:pPr>
      <w:r>
        <w:rPr>
          <w:rFonts w:ascii="宋体" w:hAnsi="宋体"/>
          <w:color w:val="auto"/>
          <w:highlight w:val="none"/>
        </w:rPr>
        <w:tab/>
      </w:r>
    </w:p>
    <w:p w14:paraId="77142C4E">
      <w:pPr>
        <w:shd w:val="clear" w:color="auto" w:fill="auto"/>
        <w:spacing w:line="360" w:lineRule="auto"/>
        <w:jc w:val="right"/>
        <w:rPr>
          <w:rFonts w:hint="eastAsia" w:ascii="宋体" w:hAnsi="宋体"/>
          <w:color w:val="auto"/>
          <w:highlight w:val="none"/>
        </w:rPr>
      </w:pPr>
    </w:p>
    <w:p w14:paraId="35FF9D38">
      <w:pPr>
        <w:shd w:val="clear" w:color="auto" w:fill="auto"/>
        <w:spacing w:line="360" w:lineRule="auto"/>
        <w:jc w:val="right"/>
        <w:rPr>
          <w:rFonts w:ascii="宋体" w:hAnsi="宋体"/>
          <w:color w:val="auto"/>
          <w:highlight w:val="none"/>
        </w:rPr>
      </w:pPr>
      <w:r>
        <w:rPr>
          <w:rFonts w:hint="eastAsia" w:ascii="宋体" w:hAnsi="宋体" w:cs="宋体"/>
          <w:color w:val="auto"/>
          <w:highlight w:val="none"/>
        </w:rPr>
        <w:t>发布人：广州市云兴建设工程监理有限公司</w:t>
      </w:r>
    </w:p>
    <w:p w14:paraId="552F8822">
      <w:pPr>
        <w:shd w:val="clear" w:color="auto" w:fill="auto"/>
        <w:wordWrap w:val="0"/>
        <w:spacing w:line="360" w:lineRule="auto"/>
        <w:jc w:val="right"/>
        <w:rPr>
          <w:rFonts w:ascii="宋体" w:hAnsi="宋体"/>
          <w:color w:val="auto"/>
          <w:highlight w:val="none"/>
        </w:rPr>
        <w:sectPr>
          <w:headerReference r:id="rId3" w:type="default"/>
          <w:pgSz w:w="11906" w:h="16838"/>
          <w:pgMar w:top="567" w:right="1304" w:bottom="567" w:left="1361" w:header="567" w:footer="737" w:gutter="0"/>
          <w:cols w:space="720" w:num="1"/>
          <w:docGrid w:linePitch="312" w:charSpace="0"/>
        </w:sectPr>
      </w:pPr>
      <w:r>
        <w:rPr>
          <w:rFonts w:hint="eastAsia" w:ascii="宋体" w:hAnsi="宋体" w:cs="宋体"/>
          <w:color w:val="auto"/>
          <w:highlight w:val="none"/>
        </w:rPr>
        <w:t>发布时间：</w:t>
      </w:r>
      <w:bookmarkStart w:id="1" w:name="OLE_LINK2"/>
      <w:r>
        <w:rPr>
          <w:rFonts w:hint="eastAsia" w:ascii="宋体" w:hAnsi="宋体" w:cs="宋体"/>
          <w:b/>
          <w:color w:val="auto"/>
          <w:highlight w:val="none"/>
        </w:rPr>
        <w:t>202</w:t>
      </w:r>
      <w:r>
        <w:rPr>
          <w:rFonts w:hint="eastAsia" w:ascii="宋体" w:hAnsi="宋体" w:cs="宋体"/>
          <w:b/>
          <w:color w:val="auto"/>
          <w:highlight w:val="none"/>
          <w:lang w:val="en-US" w:eastAsia="zh-CN"/>
        </w:rPr>
        <w:t>6</w:t>
      </w:r>
      <w:r>
        <w:rPr>
          <w:rFonts w:hint="eastAsia" w:ascii="宋体" w:hAnsi="宋体" w:cs="宋体"/>
          <w:b/>
          <w:color w:val="auto"/>
          <w:highlight w:val="none"/>
        </w:rPr>
        <w:t>年</w:t>
      </w:r>
      <w:r>
        <w:rPr>
          <w:rFonts w:hint="eastAsia" w:ascii="宋体" w:hAnsi="宋体" w:cs="宋体"/>
          <w:b/>
          <w:color w:val="auto"/>
          <w:highlight w:val="none"/>
          <w:lang w:val="en-US" w:eastAsia="zh-CN"/>
        </w:rPr>
        <w:t xml:space="preserve">7 </w:t>
      </w:r>
      <w:r>
        <w:rPr>
          <w:rFonts w:hint="eastAsia" w:ascii="宋体" w:hAnsi="宋体" w:cs="宋体"/>
          <w:b/>
          <w:color w:val="auto"/>
          <w:highlight w:val="none"/>
        </w:rPr>
        <w:t>月</w:t>
      </w:r>
      <w:r>
        <w:rPr>
          <w:rFonts w:hint="eastAsia" w:ascii="宋体" w:hAnsi="宋体" w:cs="宋体"/>
          <w:b/>
          <w:color w:val="auto"/>
          <w:highlight w:val="none"/>
          <w:lang w:val="en-US" w:eastAsia="zh-CN"/>
        </w:rPr>
        <w:t>3</w:t>
      </w:r>
      <w:r>
        <w:rPr>
          <w:rFonts w:hint="eastAsia" w:ascii="宋体" w:hAnsi="宋体" w:cs="宋体"/>
          <w:b/>
          <w:color w:val="auto"/>
          <w:highlight w:val="none"/>
        </w:rPr>
        <w:t>日</w:t>
      </w:r>
      <w:bookmarkEnd w:id="1"/>
    </w:p>
    <w:p w14:paraId="2E8BD511">
      <w:pPr>
        <w:shd w:val="clear" w:color="auto" w:fill="auto"/>
        <w:spacing w:line="360" w:lineRule="auto"/>
        <w:rPr>
          <w:rFonts w:ascii="宋体" w:hAnsi="宋体"/>
          <w:color w:val="auto"/>
          <w:kern w:val="0"/>
          <w:sz w:val="24"/>
          <w:szCs w:val="20"/>
          <w:highlight w:val="none"/>
        </w:rPr>
      </w:pPr>
      <w:r>
        <w:rPr>
          <w:rFonts w:hint="eastAsia" w:ascii="宋体" w:hAnsi="宋体"/>
          <w:color w:val="auto"/>
          <w:kern w:val="0"/>
          <w:sz w:val="24"/>
          <w:szCs w:val="20"/>
          <w:highlight w:val="none"/>
        </w:rPr>
        <w:t>附件一：</w:t>
      </w:r>
    </w:p>
    <w:tbl>
      <w:tblPr>
        <w:tblStyle w:val="3"/>
        <w:tblW w:w="0" w:type="auto"/>
        <w:tblInd w:w="0" w:type="dxa"/>
        <w:tblLayout w:type="fixed"/>
        <w:tblCellMar>
          <w:top w:w="0" w:type="dxa"/>
          <w:left w:w="108" w:type="dxa"/>
          <w:bottom w:w="0" w:type="dxa"/>
          <w:right w:w="108" w:type="dxa"/>
        </w:tblCellMar>
      </w:tblPr>
      <w:tblGrid>
        <w:gridCol w:w="680"/>
        <w:gridCol w:w="1520"/>
        <w:gridCol w:w="3080"/>
        <w:gridCol w:w="3080"/>
        <w:gridCol w:w="3080"/>
        <w:gridCol w:w="3080"/>
      </w:tblGrid>
      <w:tr w14:paraId="5F96CB1D">
        <w:tblPrEx>
          <w:tblCellMar>
            <w:top w:w="0" w:type="dxa"/>
            <w:left w:w="108" w:type="dxa"/>
            <w:bottom w:w="0" w:type="dxa"/>
            <w:right w:w="108" w:type="dxa"/>
          </w:tblCellMar>
        </w:tblPrEx>
        <w:trPr>
          <w:trHeight w:val="735" w:hRule="atLeast"/>
        </w:trPr>
        <w:tc>
          <w:tcPr>
            <w:tcW w:w="14520" w:type="dxa"/>
            <w:gridSpan w:val="6"/>
            <w:tcBorders>
              <w:top w:val="nil"/>
              <w:left w:val="nil"/>
              <w:bottom w:val="nil"/>
              <w:right w:val="nil"/>
            </w:tcBorders>
            <w:noWrap w:val="0"/>
            <w:vAlign w:val="center"/>
          </w:tcPr>
          <w:p w14:paraId="4CF2AC79">
            <w:pPr>
              <w:widowControl/>
              <w:shd w:val="clear" w:color="auto" w:fill="auto"/>
              <w:jc w:val="center"/>
              <w:rPr>
                <w:rFonts w:ascii="宋体" w:hAnsi="宋体" w:cs="宋体"/>
                <w:b/>
                <w:bCs/>
                <w:color w:val="auto"/>
                <w:kern w:val="0"/>
                <w:sz w:val="40"/>
                <w:szCs w:val="40"/>
                <w:highlight w:val="none"/>
              </w:rPr>
            </w:pPr>
            <w:r>
              <w:rPr>
                <w:rFonts w:hint="eastAsia" w:ascii="宋体" w:hAnsi="宋体" w:cs="宋体"/>
                <w:b/>
                <w:bCs/>
                <w:color w:val="auto"/>
                <w:kern w:val="0"/>
                <w:sz w:val="40"/>
                <w:szCs w:val="40"/>
                <w:highlight w:val="none"/>
              </w:rPr>
              <w:t>竞争性磋商文件登记表</w:t>
            </w:r>
          </w:p>
        </w:tc>
      </w:tr>
      <w:tr w14:paraId="7FEAFD96">
        <w:tblPrEx>
          <w:tblCellMar>
            <w:top w:w="0" w:type="dxa"/>
            <w:left w:w="108" w:type="dxa"/>
            <w:bottom w:w="0" w:type="dxa"/>
            <w:right w:w="108" w:type="dxa"/>
          </w:tblCellMar>
        </w:tblPrEx>
        <w:trPr>
          <w:trHeight w:val="702" w:hRule="atLeast"/>
        </w:trPr>
        <w:tc>
          <w:tcPr>
            <w:tcW w:w="2200" w:type="dxa"/>
            <w:gridSpan w:val="2"/>
            <w:tcBorders>
              <w:top w:val="single" w:color="auto" w:sz="4" w:space="0"/>
              <w:left w:val="single" w:color="auto" w:sz="4" w:space="0"/>
              <w:bottom w:val="single" w:color="auto" w:sz="4" w:space="0"/>
              <w:right w:val="single" w:color="auto" w:sz="4" w:space="0"/>
            </w:tcBorders>
            <w:noWrap w:val="0"/>
            <w:vAlign w:val="center"/>
          </w:tcPr>
          <w:p w14:paraId="503DF6B2">
            <w:pPr>
              <w:widowControl/>
              <w:shd w:val="clear" w:color="auto" w:fill="auto"/>
              <w:jc w:val="center"/>
              <w:rPr>
                <w:rFonts w:ascii="宋体" w:hAnsi="宋体" w:cs="宋体"/>
                <w:bCs/>
                <w:color w:val="auto"/>
                <w:kern w:val="0"/>
                <w:highlight w:val="none"/>
              </w:rPr>
            </w:pPr>
            <w:r>
              <w:rPr>
                <w:rFonts w:hint="eastAsia" w:ascii="宋体" w:hAnsi="宋体" w:cs="宋体"/>
                <w:bCs/>
                <w:color w:val="auto"/>
                <w:kern w:val="0"/>
                <w:highlight w:val="none"/>
              </w:rPr>
              <w:t>项目编号</w:t>
            </w:r>
          </w:p>
        </w:tc>
        <w:tc>
          <w:tcPr>
            <w:tcW w:w="6160" w:type="dxa"/>
            <w:gridSpan w:val="2"/>
            <w:tcBorders>
              <w:top w:val="single" w:color="auto" w:sz="4" w:space="0"/>
              <w:left w:val="nil"/>
              <w:bottom w:val="single" w:color="auto" w:sz="4" w:space="0"/>
              <w:right w:val="single" w:color="auto" w:sz="4" w:space="0"/>
            </w:tcBorders>
            <w:noWrap w:val="0"/>
            <w:vAlign w:val="center"/>
          </w:tcPr>
          <w:p w14:paraId="14446713">
            <w:pPr>
              <w:widowControl/>
              <w:shd w:val="clear" w:color="auto" w:fill="auto"/>
              <w:jc w:val="center"/>
              <w:rPr>
                <w:rFonts w:ascii="宋体" w:hAnsi="宋体" w:cs="宋体"/>
                <w:bCs/>
                <w:color w:val="auto"/>
                <w:kern w:val="0"/>
                <w:highlight w:val="none"/>
              </w:rPr>
            </w:pPr>
          </w:p>
        </w:tc>
        <w:tc>
          <w:tcPr>
            <w:tcW w:w="3080" w:type="dxa"/>
            <w:tcBorders>
              <w:top w:val="single" w:color="auto" w:sz="4" w:space="0"/>
              <w:left w:val="nil"/>
              <w:bottom w:val="single" w:color="auto" w:sz="4" w:space="0"/>
              <w:right w:val="single" w:color="auto" w:sz="4" w:space="0"/>
            </w:tcBorders>
            <w:noWrap w:val="0"/>
            <w:vAlign w:val="center"/>
          </w:tcPr>
          <w:p w14:paraId="3C29CB9D">
            <w:pPr>
              <w:widowControl/>
              <w:shd w:val="clear" w:color="auto" w:fill="auto"/>
              <w:jc w:val="center"/>
              <w:rPr>
                <w:rFonts w:ascii="宋体" w:hAnsi="宋体" w:cs="宋体"/>
                <w:bCs/>
                <w:color w:val="auto"/>
                <w:kern w:val="0"/>
                <w:highlight w:val="none"/>
              </w:rPr>
            </w:pPr>
            <w:r>
              <w:rPr>
                <w:rFonts w:hint="eastAsia" w:ascii="宋体" w:hAnsi="宋体" w:cs="宋体"/>
                <w:bCs/>
                <w:color w:val="auto"/>
                <w:kern w:val="0"/>
                <w:highlight w:val="none"/>
              </w:rPr>
              <w:t>获取文件日期</w:t>
            </w:r>
          </w:p>
        </w:tc>
        <w:tc>
          <w:tcPr>
            <w:tcW w:w="3080" w:type="dxa"/>
            <w:tcBorders>
              <w:top w:val="single" w:color="auto" w:sz="4" w:space="0"/>
              <w:left w:val="nil"/>
              <w:bottom w:val="single" w:color="auto" w:sz="4" w:space="0"/>
              <w:right w:val="single" w:color="auto" w:sz="4" w:space="0"/>
            </w:tcBorders>
            <w:noWrap w:val="0"/>
            <w:vAlign w:val="center"/>
          </w:tcPr>
          <w:p w14:paraId="3EBC51BD">
            <w:pPr>
              <w:widowControl/>
              <w:shd w:val="clear" w:color="auto" w:fill="auto"/>
              <w:jc w:val="center"/>
              <w:rPr>
                <w:rFonts w:ascii="宋体" w:hAnsi="宋体" w:cs="宋体"/>
                <w:bCs/>
                <w:color w:val="auto"/>
                <w:kern w:val="0"/>
                <w:highlight w:val="none"/>
              </w:rPr>
            </w:pPr>
            <w:r>
              <w:rPr>
                <w:rFonts w:hint="eastAsia" w:ascii="宋体" w:hAnsi="宋体" w:cs="宋体"/>
                <w:bCs/>
                <w:color w:val="auto"/>
                <w:kern w:val="0"/>
                <w:highlight w:val="none"/>
              </w:rPr>
              <w:t>202</w:t>
            </w:r>
            <w:r>
              <w:rPr>
                <w:rFonts w:hint="eastAsia" w:ascii="宋体" w:hAnsi="宋体" w:cs="宋体"/>
                <w:bCs/>
                <w:color w:val="auto"/>
                <w:kern w:val="0"/>
                <w:highlight w:val="none"/>
                <w:lang w:val="en-US" w:eastAsia="zh-CN"/>
              </w:rPr>
              <w:t>6</w:t>
            </w:r>
            <w:r>
              <w:rPr>
                <w:rFonts w:hint="eastAsia" w:ascii="宋体" w:hAnsi="宋体" w:cs="宋体"/>
                <w:bCs/>
                <w:color w:val="auto"/>
                <w:kern w:val="0"/>
                <w:highlight w:val="none"/>
              </w:rPr>
              <w:t>年   月   日</w:t>
            </w:r>
          </w:p>
        </w:tc>
      </w:tr>
      <w:tr w14:paraId="324C825F">
        <w:tblPrEx>
          <w:tblCellMar>
            <w:top w:w="0" w:type="dxa"/>
            <w:left w:w="108" w:type="dxa"/>
            <w:bottom w:w="0" w:type="dxa"/>
            <w:right w:w="108" w:type="dxa"/>
          </w:tblCellMar>
        </w:tblPrEx>
        <w:trPr>
          <w:trHeight w:val="702" w:hRule="atLeast"/>
        </w:trPr>
        <w:tc>
          <w:tcPr>
            <w:tcW w:w="2200" w:type="dxa"/>
            <w:gridSpan w:val="2"/>
            <w:tcBorders>
              <w:top w:val="single" w:color="auto" w:sz="4" w:space="0"/>
              <w:left w:val="single" w:color="auto" w:sz="4" w:space="0"/>
              <w:bottom w:val="single" w:color="auto" w:sz="4" w:space="0"/>
              <w:right w:val="single" w:color="auto" w:sz="4" w:space="0"/>
            </w:tcBorders>
            <w:noWrap w:val="0"/>
            <w:vAlign w:val="center"/>
          </w:tcPr>
          <w:p w14:paraId="3ACDC151">
            <w:pPr>
              <w:widowControl/>
              <w:shd w:val="clear" w:color="auto" w:fill="auto"/>
              <w:jc w:val="center"/>
              <w:rPr>
                <w:rFonts w:ascii="宋体" w:hAnsi="宋体" w:cs="宋体"/>
                <w:bCs/>
                <w:color w:val="auto"/>
                <w:kern w:val="0"/>
                <w:highlight w:val="none"/>
              </w:rPr>
            </w:pPr>
            <w:r>
              <w:rPr>
                <w:rFonts w:hint="eastAsia" w:ascii="宋体" w:hAnsi="宋体" w:cs="宋体"/>
                <w:bCs/>
                <w:color w:val="auto"/>
                <w:kern w:val="0"/>
                <w:highlight w:val="none"/>
              </w:rPr>
              <w:t>项目名称</w:t>
            </w:r>
          </w:p>
        </w:tc>
        <w:tc>
          <w:tcPr>
            <w:tcW w:w="12320" w:type="dxa"/>
            <w:gridSpan w:val="4"/>
            <w:tcBorders>
              <w:top w:val="single" w:color="auto" w:sz="4" w:space="0"/>
              <w:left w:val="nil"/>
              <w:bottom w:val="single" w:color="auto" w:sz="4" w:space="0"/>
              <w:right w:val="single" w:color="000000" w:sz="4" w:space="0"/>
            </w:tcBorders>
            <w:noWrap w:val="0"/>
            <w:vAlign w:val="center"/>
          </w:tcPr>
          <w:p w14:paraId="7246AE36">
            <w:pPr>
              <w:widowControl/>
              <w:shd w:val="clear" w:color="auto" w:fill="auto"/>
              <w:jc w:val="center"/>
              <w:rPr>
                <w:rFonts w:hint="eastAsia" w:ascii="宋体" w:hAnsi="宋体" w:eastAsia="宋体" w:cs="宋体"/>
                <w:bCs/>
                <w:color w:val="auto"/>
                <w:kern w:val="0"/>
                <w:highlight w:val="none"/>
                <w:lang w:eastAsia="zh-CN"/>
              </w:rPr>
            </w:pPr>
            <w:r>
              <w:rPr>
                <w:rFonts w:hint="eastAsia" w:ascii="宋体" w:hAnsi="宋体" w:cs="宋体"/>
                <w:bCs/>
                <w:color w:val="auto"/>
                <w:kern w:val="0"/>
                <w:highlight w:val="none"/>
                <w:lang w:eastAsia="zh-CN"/>
              </w:rPr>
              <w:t>西部临江大道（一期）项目（石井街）拆卸工程</w:t>
            </w:r>
          </w:p>
        </w:tc>
      </w:tr>
      <w:tr w14:paraId="05E4725A">
        <w:tblPrEx>
          <w:tblCellMar>
            <w:top w:w="0" w:type="dxa"/>
            <w:left w:w="108" w:type="dxa"/>
            <w:bottom w:w="0" w:type="dxa"/>
            <w:right w:w="108" w:type="dxa"/>
          </w:tblCellMar>
        </w:tblPrEx>
        <w:trPr>
          <w:trHeight w:val="702" w:hRule="atLeast"/>
        </w:trPr>
        <w:tc>
          <w:tcPr>
            <w:tcW w:w="680" w:type="dxa"/>
            <w:vMerge w:val="restart"/>
            <w:tcBorders>
              <w:top w:val="nil"/>
              <w:left w:val="single" w:color="auto" w:sz="4" w:space="0"/>
              <w:bottom w:val="single" w:color="auto" w:sz="4" w:space="0"/>
              <w:right w:val="single" w:color="auto" w:sz="4" w:space="0"/>
            </w:tcBorders>
            <w:noWrap w:val="0"/>
            <w:vAlign w:val="center"/>
          </w:tcPr>
          <w:p w14:paraId="68A2FCC4">
            <w:pPr>
              <w:widowControl/>
              <w:shd w:val="clear" w:color="auto" w:fill="auto"/>
              <w:jc w:val="center"/>
              <w:rPr>
                <w:rFonts w:hint="eastAsia" w:ascii="宋体" w:hAnsi="宋体" w:cs="宋体"/>
                <w:bCs/>
                <w:color w:val="auto"/>
                <w:kern w:val="0"/>
                <w:highlight w:val="none"/>
                <w:lang w:val="en-US" w:eastAsia="zh-CN"/>
              </w:rPr>
            </w:pPr>
            <w:r>
              <w:rPr>
                <w:rFonts w:hint="eastAsia" w:ascii="宋体" w:hAnsi="宋体" w:cs="宋体"/>
                <w:bCs/>
                <w:color w:val="auto"/>
                <w:kern w:val="0"/>
                <w:highlight w:val="none"/>
                <w:lang w:val="en-US" w:eastAsia="zh-CN"/>
              </w:rPr>
              <w:t>供</w:t>
            </w:r>
          </w:p>
          <w:p w14:paraId="7A521A0F">
            <w:pPr>
              <w:widowControl/>
              <w:shd w:val="clear" w:color="auto" w:fill="auto"/>
              <w:jc w:val="center"/>
              <w:rPr>
                <w:rFonts w:hint="eastAsia" w:ascii="宋体" w:hAnsi="宋体" w:cs="宋体"/>
                <w:bCs/>
                <w:color w:val="auto"/>
                <w:kern w:val="0"/>
                <w:highlight w:val="none"/>
                <w:lang w:val="en-US" w:eastAsia="zh-CN"/>
              </w:rPr>
            </w:pPr>
            <w:r>
              <w:rPr>
                <w:rFonts w:hint="eastAsia" w:ascii="宋体" w:hAnsi="宋体" w:cs="宋体"/>
                <w:bCs/>
                <w:color w:val="auto"/>
                <w:kern w:val="0"/>
                <w:highlight w:val="none"/>
                <w:lang w:val="en-US" w:eastAsia="zh-CN"/>
              </w:rPr>
              <w:t>应</w:t>
            </w:r>
          </w:p>
          <w:p w14:paraId="17BD0EA6">
            <w:pPr>
              <w:widowControl/>
              <w:shd w:val="clear" w:color="auto" w:fill="auto"/>
              <w:jc w:val="center"/>
              <w:rPr>
                <w:rFonts w:ascii="宋体" w:hAnsi="宋体" w:cs="宋体"/>
                <w:bCs/>
                <w:color w:val="auto"/>
                <w:kern w:val="0"/>
                <w:highlight w:val="none"/>
              </w:rPr>
            </w:pPr>
            <w:r>
              <w:rPr>
                <w:rFonts w:hint="eastAsia" w:ascii="宋体" w:hAnsi="宋体" w:cs="宋体"/>
                <w:bCs/>
                <w:color w:val="auto"/>
                <w:kern w:val="0"/>
                <w:highlight w:val="none"/>
                <w:lang w:val="en-US" w:eastAsia="zh-CN"/>
              </w:rPr>
              <w:t>商</w:t>
            </w:r>
            <w:r>
              <w:rPr>
                <w:rFonts w:hint="eastAsia" w:ascii="宋体" w:hAnsi="宋体" w:cs="宋体"/>
                <w:bCs/>
                <w:color w:val="auto"/>
                <w:kern w:val="0"/>
                <w:highlight w:val="none"/>
              </w:rPr>
              <w:t xml:space="preserve">      资   料</w:t>
            </w:r>
          </w:p>
        </w:tc>
        <w:tc>
          <w:tcPr>
            <w:tcW w:w="1520" w:type="dxa"/>
            <w:tcBorders>
              <w:top w:val="nil"/>
              <w:left w:val="nil"/>
              <w:bottom w:val="single" w:color="auto" w:sz="4" w:space="0"/>
              <w:right w:val="single" w:color="auto" w:sz="4" w:space="0"/>
            </w:tcBorders>
            <w:noWrap w:val="0"/>
            <w:vAlign w:val="center"/>
          </w:tcPr>
          <w:p w14:paraId="33810DD2">
            <w:pPr>
              <w:widowControl/>
              <w:shd w:val="clear" w:color="auto" w:fill="auto"/>
              <w:jc w:val="center"/>
              <w:rPr>
                <w:rFonts w:ascii="宋体" w:hAnsi="宋体" w:cs="宋体"/>
                <w:bCs/>
                <w:color w:val="auto"/>
                <w:kern w:val="0"/>
                <w:highlight w:val="none"/>
              </w:rPr>
            </w:pPr>
            <w:r>
              <w:rPr>
                <w:rFonts w:hint="eastAsia" w:ascii="宋体" w:hAnsi="宋体" w:cs="宋体"/>
                <w:bCs/>
                <w:color w:val="auto"/>
                <w:kern w:val="0"/>
                <w:highlight w:val="none"/>
              </w:rPr>
              <w:t>供应商名称</w:t>
            </w:r>
          </w:p>
        </w:tc>
        <w:tc>
          <w:tcPr>
            <w:tcW w:w="6160" w:type="dxa"/>
            <w:gridSpan w:val="2"/>
            <w:tcBorders>
              <w:top w:val="single" w:color="auto" w:sz="4" w:space="0"/>
              <w:left w:val="nil"/>
              <w:bottom w:val="single" w:color="auto" w:sz="4" w:space="0"/>
              <w:right w:val="single" w:color="auto" w:sz="4" w:space="0"/>
            </w:tcBorders>
            <w:noWrap w:val="0"/>
            <w:vAlign w:val="center"/>
          </w:tcPr>
          <w:p w14:paraId="0424A525">
            <w:pPr>
              <w:widowControl/>
              <w:shd w:val="clear" w:color="auto" w:fill="auto"/>
              <w:jc w:val="center"/>
              <w:rPr>
                <w:rFonts w:ascii="宋体" w:hAnsi="宋体" w:cs="宋体"/>
                <w:bCs/>
                <w:color w:val="auto"/>
                <w:kern w:val="0"/>
                <w:highlight w:val="none"/>
              </w:rPr>
            </w:pPr>
            <w:r>
              <w:rPr>
                <w:rFonts w:hint="eastAsia" w:ascii="宋体" w:hAnsi="宋体" w:cs="宋体"/>
                <w:bCs/>
                <w:color w:val="auto"/>
                <w:kern w:val="0"/>
                <w:highlight w:val="none"/>
              </w:rPr>
              <w:t>　</w:t>
            </w:r>
          </w:p>
        </w:tc>
        <w:tc>
          <w:tcPr>
            <w:tcW w:w="3080" w:type="dxa"/>
            <w:tcBorders>
              <w:top w:val="nil"/>
              <w:left w:val="nil"/>
              <w:bottom w:val="single" w:color="auto" w:sz="4" w:space="0"/>
              <w:right w:val="single" w:color="auto" w:sz="4" w:space="0"/>
            </w:tcBorders>
            <w:noWrap w:val="0"/>
            <w:vAlign w:val="center"/>
          </w:tcPr>
          <w:p w14:paraId="35DAD9AE">
            <w:pPr>
              <w:widowControl/>
              <w:shd w:val="clear" w:color="auto" w:fill="auto"/>
              <w:jc w:val="center"/>
              <w:rPr>
                <w:rFonts w:ascii="宋体" w:hAnsi="宋体" w:cs="宋体"/>
                <w:bCs/>
                <w:color w:val="auto"/>
                <w:kern w:val="0"/>
                <w:highlight w:val="none"/>
              </w:rPr>
            </w:pPr>
            <w:r>
              <w:rPr>
                <w:rFonts w:hint="eastAsia" w:ascii="宋体" w:hAnsi="宋体" w:cs="宋体"/>
                <w:bCs/>
                <w:color w:val="auto"/>
                <w:kern w:val="0"/>
                <w:highlight w:val="none"/>
              </w:rPr>
              <w:t>文件价格（元/套）</w:t>
            </w:r>
          </w:p>
        </w:tc>
        <w:tc>
          <w:tcPr>
            <w:tcW w:w="3080" w:type="dxa"/>
            <w:tcBorders>
              <w:top w:val="nil"/>
              <w:left w:val="nil"/>
              <w:bottom w:val="single" w:color="auto" w:sz="4" w:space="0"/>
              <w:right w:val="single" w:color="auto" w:sz="4" w:space="0"/>
            </w:tcBorders>
            <w:noWrap w:val="0"/>
            <w:vAlign w:val="center"/>
          </w:tcPr>
          <w:p w14:paraId="5FF8BB35">
            <w:pPr>
              <w:widowControl/>
              <w:shd w:val="clear" w:color="auto" w:fill="auto"/>
              <w:jc w:val="center"/>
              <w:rPr>
                <w:rFonts w:ascii="宋体" w:hAnsi="宋体" w:cs="宋体"/>
                <w:color w:val="auto"/>
                <w:kern w:val="0"/>
                <w:highlight w:val="none"/>
                <w:u w:val="single"/>
              </w:rPr>
            </w:pPr>
            <w:r>
              <w:rPr>
                <w:rFonts w:hint="eastAsia" w:ascii="宋体" w:hAnsi="宋体" w:cs="宋体"/>
                <w:color w:val="auto"/>
                <w:kern w:val="0"/>
                <w:highlight w:val="none"/>
                <w:u w:val="single"/>
              </w:rPr>
              <w:t>300元</w:t>
            </w:r>
          </w:p>
        </w:tc>
      </w:tr>
      <w:tr w14:paraId="702FC753">
        <w:tblPrEx>
          <w:tblCellMar>
            <w:top w:w="0" w:type="dxa"/>
            <w:left w:w="108" w:type="dxa"/>
            <w:bottom w:w="0" w:type="dxa"/>
            <w:right w:w="108" w:type="dxa"/>
          </w:tblCellMar>
        </w:tblPrEx>
        <w:trPr>
          <w:trHeight w:val="702" w:hRule="atLeast"/>
        </w:trPr>
        <w:tc>
          <w:tcPr>
            <w:tcW w:w="680" w:type="dxa"/>
            <w:vMerge w:val="continue"/>
            <w:tcBorders>
              <w:top w:val="nil"/>
              <w:left w:val="single" w:color="auto" w:sz="4" w:space="0"/>
              <w:bottom w:val="single" w:color="auto" w:sz="4" w:space="0"/>
              <w:right w:val="single" w:color="auto" w:sz="4" w:space="0"/>
            </w:tcBorders>
            <w:noWrap w:val="0"/>
            <w:vAlign w:val="center"/>
          </w:tcPr>
          <w:p w14:paraId="24E65642">
            <w:pPr>
              <w:widowControl/>
              <w:shd w:val="clear" w:color="auto" w:fill="auto"/>
              <w:jc w:val="left"/>
              <w:rPr>
                <w:rFonts w:ascii="宋体" w:hAnsi="宋体" w:cs="宋体"/>
                <w:bCs/>
                <w:color w:val="auto"/>
                <w:kern w:val="0"/>
                <w:highlight w:val="none"/>
              </w:rPr>
            </w:pPr>
          </w:p>
        </w:tc>
        <w:tc>
          <w:tcPr>
            <w:tcW w:w="1520" w:type="dxa"/>
            <w:tcBorders>
              <w:top w:val="nil"/>
              <w:left w:val="nil"/>
              <w:bottom w:val="single" w:color="auto" w:sz="4" w:space="0"/>
              <w:right w:val="single" w:color="auto" w:sz="4" w:space="0"/>
            </w:tcBorders>
            <w:noWrap w:val="0"/>
            <w:vAlign w:val="center"/>
          </w:tcPr>
          <w:p w14:paraId="72781B91">
            <w:pPr>
              <w:widowControl/>
              <w:shd w:val="clear" w:color="auto" w:fill="auto"/>
              <w:jc w:val="center"/>
              <w:rPr>
                <w:rFonts w:ascii="宋体" w:hAnsi="宋体" w:cs="宋体"/>
                <w:bCs/>
                <w:color w:val="auto"/>
                <w:kern w:val="0"/>
                <w:highlight w:val="none"/>
              </w:rPr>
            </w:pPr>
            <w:r>
              <w:rPr>
                <w:rFonts w:hint="eastAsia" w:ascii="宋体" w:hAnsi="宋体" w:cs="宋体"/>
                <w:bCs/>
                <w:color w:val="auto"/>
                <w:kern w:val="0"/>
                <w:highlight w:val="none"/>
              </w:rPr>
              <w:t>地址</w:t>
            </w:r>
          </w:p>
        </w:tc>
        <w:tc>
          <w:tcPr>
            <w:tcW w:w="6160" w:type="dxa"/>
            <w:gridSpan w:val="2"/>
            <w:tcBorders>
              <w:top w:val="single" w:color="auto" w:sz="4" w:space="0"/>
              <w:left w:val="nil"/>
              <w:bottom w:val="single" w:color="auto" w:sz="4" w:space="0"/>
              <w:right w:val="single" w:color="auto" w:sz="4" w:space="0"/>
            </w:tcBorders>
            <w:noWrap w:val="0"/>
            <w:vAlign w:val="center"/>
          </w:tcPr>
          <w:p w14:paraId="255BC88E">
            <w:pPr>
              <w:widowControl/>
              <w:shd w:val="clear" w:color="auto" w:fill="auto"/>
              <w:jc w:val="center"/>
              <w:rPr>
                <w:rFonts w:ascii="宋体" w:hAnsi="宋体" w:cs="宋体"/>
                <w:bCs/>
                <w:color w:val="auto"/>
                <w:kern w:val="0"/>
                <w:highlight w:val="none"/>
              </w:rPr>
            </w:pPr>
            <w:r>
              <w:rPr>
                <w:rFonts w:hint="eastAsia" w:ascii="宋体" w:hAnsi="宋体" w:cs="宋体"/>
                <w:bCs/>
                <w:color w:val="auto"/>
                <w:kern w:val="0"/>
                <w:highlight w:val="none"/>
              </w:rPr>
              <w:t>　</w:t>
            </w:r>
          </w:p>
        </w:tc>
        <w:tc>
          <w:tcPr>
            <w:tcW w:w="3080" w:type="dxa"/>
            <w:tcBorders>
              <w:top w:val="nil"/>
              <w:left w:val="nil"/>
              <w:bottom w:val="single" w:color="auto" w:sz="4" w:space="0"/>
              <w:right w:val="single" w:color="auto" w:sz="4" w:space="0"/>
            </w:tcBorders>
            <w:noWrap w:val="0"/>
            <w:vAlign w:val="center"/>
          </w:tcPr>
          <w:p w14:paraId="6808AAB7">
            <w:pPr>
              <w:widowControl/>
              <w:shd w:val="clear" w:color="auto" w:fill="auto"/>
              <w:jc w:val="center"/>
              <w:rPr>
                <w:rFonts w:ascii="宋体" w:hAnsi="宋体" w:cs="宋体"/>
                <w:bCs/>
                <w:color w:val="auto"/>
                <w:kern w:val="0"/>
                <w:highlight w:val="none"/>
              </w:rPr>
            </w:pPr>
            <w:r>
              <w:rPr>
                <w:rFonts w:hint="eastAsia" w:ascii="宋体" w:hAnsi="宋体" w:cs="宋体"/>
                <w:bCs/>
                <w:color w:val="auto"/>
                <w:kern w:val="0"/>
                <w:highlight w:val="none"/>
              </w:rPr>
              <w:t>邮箱</w:t>
            </w:r>
          </w:p>
        </w:tc>
        <w:tc>
          <w:tcPr>
            <w:tcW w:w="3080" w:type="dxa"/>
            <w:tcBorders>
              <w:top w:val="nil"/>
              <w:left w:val="nil"/>
              <w:bottom w:val="single" w:color="auto" w:sz="4" w:space="0"/>
              <w:right w:val="single" w:color="auto" w:sz="4" w:space="0"/>
            </w:tcBorders>
            <w:noWrap w:val="0"/>
            <w:vAlign w:val="center"/>
          </w:tcPr>
          <w:p w14:paraId="4BD968B0">
            <w:pPr>
              <w:widowControl/>
              <w:shd w:val="clear" w:color="auto" w:fill="auto"/>
              <w:jc w:val="center"/>
              <w:rPr>
                <w:rFonts w:ascii="宋体" w:hAnsi="宋体" w:cs="宋体"/>
                <w:color w:val="auto"/>
                <w:kern w:val="0"/>
                <w:highlight w:val="none"/>
                <w:u w:val="single"/>
              </w:rPr>
            </w:pPr>
          </w:p>
        </w:tc>
      </w:tr>
      <w:tr w14:paraId="54BDC448">
        <w:tblPrEx>
          <w:tblCellMar>
            <w:top w:w="0" w:type="dxa"/>
            <w:left w:w="108" w:type="dxa"/>
            <w:bottom w:w="0" w:type="dxa"/>
            <w:right w:w="108" w:type="dxa"/>
          </w:tblCellMar>
        </w:tblPrEx>
        <w:trPr>
          <w:trHeight w:val="702" w:hRule="atLeast"/>
        </w:trPr>
        <w:tc>
          <w:tcPr>
            <w:tcW w:w="680" w:type="dxa"/>
            <w:vMerge w:val="continue"/>
            <w:tcBorders>
              <w:top w:val="nil"/>
              <w:left w:val="single" w:color="auto" w:sz="4" w:space="0"/>
              <w:bottom w:val="single" w:color="auto" w:sz="4" w:space="0"/>
              <w:right w:val="single" w:color="auto" w:sz="4" w:space="0"/>
            </w:tcBorders>
            <w:noWrap w:val="0"/>
            <w:vAlign w:val="center"/>
          </w:tcPr>
          <w:p w14:paraId="1CAF0ACB">
            <w:pPr>
              <w:widowControl/>
              <w:shd w:val="clear" w:color="auto" w:fill="auto"/>
              <w:jc w:val="left"/>
              <w:rPr>
                <w:rFonts w:ascii="宋体" w:hAnsi="宋体" w:cs="宋体"/>
                <w:bCs/>
                <w:color w:val="auto"/>
                <w:kern w:val="0"/>
                <w:highlight w:val="none"/>
              </w:rPr>
            </w:pPr>
          </w:p>
        </w:tc>
        <w:tc>
          <w:tcPr>
            <w:tcW w:w="1520" w:type="dxa"/>
            <w:vMerge w:val="restart"/>
            <w:tcBorders>
              <w:top w:val="nil"/>
              <w:left w:val="single" w:color="auto" w:sz="4" w:space="0"/>
              <w:bottom w:val="single" w:color="auto" w:sz="4" w:space="0"/>
              <w:right w:val="single" w:color="auto" w:sz="4" w:space="0"/>
            </w:tcBorders>
            <w:noWrap w:val="0"/>
            <w:vAlign w:val="center"/>
          </w:tcPr>
          <w:p w14:paraId="6D49B894">
            <w:pPr>
              <w:widowControl/>
              <w:shd w:val="clear" w:color="auto" w:fill="auto"/>
              <w:jc w:val="center"/>
              <w:rPr>
                <w:rFonts w:ascii="宋体" w:hAnsi="宋体" w:cs="宋体"/>
                <w:bCs/>
                <w:color w:val="auto"/>
                <w:kern w:val="0"/>
                <w:highlight w:val="none"/>
              </w:rPr>
            </w:pPr>
            <w:r>
              <w:rPr>
                <w:rFonts w:hint="eastAsia" w:ascii="宋体" w:hAnsi="宋体" w:cs="宋体"/>
                <w:bCs/>
                <w:color w:val="auto"/>
                <w:kern w:val="0"/>
                <w:highlight w:val="none"/>
              </w:rPr>
              <w:t>联系人</w:t>
            </w:r>
          </w:p>
        </w:tc>
        <w:tc>
          <w:tcPr>
            <w:tcW w:w="3080" w:type="dxa"/>
            <w:tcBorders>
              <w:top w:val="nil"/>
              <w:left w:val="nil"/>
              <w:bottom w:val="single" w:color="auto" w:sz="4" w:space="0"/>
              <w:right w:val="single" w:color="auto" w:sz="4" w:space="0"/>
            </w:tcBorders>
            <w:noWrap w:val="0"/>
            <w:vAlign w:val="center"/>
          </w:tcPr>
          <w:p w14:paraId="4C87ECDD">
            <w:pPr>
              <w:widowControl/>
              <w:shd w:val="clear" w:color="auto" w:fill="auto"/>
              <w:jc w:val="center"/>
              <w:rPr>
                <w:rFonts w:ascii="宋体" w:hAnsi="宋体" w:cs="宋体"/>
                <w:bCs/>
                <w:color w:val="auto"/>
                <w:kern w:val="0"/>
                <w:highlight w:val="none"/>
              </w:rPr>
            </w:pPr>
            <w:r>
              <w:rPr>
                <w:rFonts w:hint="eastAsia" w:ascii="宋体" w:hAnsi="宋体" w:cs="宋体"/>
                <w:bCs/>
                <w:color w:val="auto"/>
                <w:kern w:val="0"/>
                <w:highlight w:val="none"/>
              </w:rPr>
              <w:t>姓名</w:t>
            </w:r>
          </w:p>
        </w:tc>
        <w:tc>
          <w:tcPr>
            <w:tcW w:w="3080" w:type="dxa"/>
            <w:tcBorders>
              <w:top w:val="nil"/>
              <w:left w:val="nil"/>
              <w:bottom w:val="single" w:color="auto" w:sz="4" w:space="0"/>
              <w:right w:val="single" w:color="auto" w:sz="4" w:space="0"/>
            </w:tcBorders>
            <w:noWrap w:val="0"/>
            <w:vAlign w:val="center"/>
          </w:tcPr>
          <w:p w14:paraId="438BC0CC">
            <w:pPr>
              <w:widowControl/>
              <w:shd w:val="clear" w:color="auto" w:fill="auto"/>
              <w:jc w:val="center"/>
              <w:rPr>
                <w:rFonts w:ascii="宋体" w:hAnsi="宋体" w:cs="宋体"/>
                <w:bCs/>
                <w:color w:val="auto"/>
                <w:kern w:val="0"/>
                <w:highlight w:val="none"/>
              </w:rPr>
            </w:pPr>
            <w:r>
              <w:rPr>
                <w:rFonts w:hint="eastAsia" w:ascii="宋体" w:hAnsi="宋体" w:cs="宋体"/>
                <w:bCs/>
                <w:color w:val="auto"/>
                <w:kern w:val="0"/>
                <w:highlight w:val="none"/>
              </w:rPr>
              <w:t>电话</w:t>
            </w:r>
          </w:p>
        </w:tc>
        <w:tc>
          <w:tcPr>
            <w:tcW w:w="3080" w:type="dxa"/>
            <w:tcBorders>
              <w:top w:val="nil"/>
              <w:left w:val="nil"/>
              <w:bottom w:val="single" w:color="auto" w:sz="4" w:space="0"/>
              <w:right w:val="single" w:color="auto" w:sz="4" w:space="0"/>
            </w:tcBorders>
            <w:noWrap w:val="0"/>
            <w:vAlign w:val="center"/>
          </w:tcPr>
          <w:p w14:paraId="49BC7A06">
            <w:pPr>
              <w:widowControl/>
              <w:shd w:val="clear" w:color="auto" w:fill="auto"/>
              <w:jc w:val="center"/>
              <w:rPr>
                <w:rFonts w:ascii="宋体" w:hAnsi="宋体" w:cs="宋体"/>
                <w:bCs/>
                <w:color w:val="auto"/>
                <w:kern w:val="0"/>
                <w:highlight w:val="none"/>
              </w:rPr>
            </w:pPr>
            <w:r>
              <w:rPr>
                <w:rFonts w:hint="eastAsia" w:ascii="宋体" w:hAnsi="宋体" w:cs="宋体"/>
                <w:bCs/>
                <w:color w:val="auto"/>
                <w:kern w:val="0"/>
                <w:highlight w:val="none"/>
              </w:rPr>
              <w:t>传真</w:t>
            </w:r>
          </w:p>
        </w:tc>
        <w:tc>
          <w:tcPr>
            <w:tcW w:w="3080" w:type="dxa"/>
            <w:tcBorders>
              <w:top w:val="nil"/>
              <w:left w:val="nil"/>
              <w:bottom w:val="single" w:color="auto" w:sz="4" w:space="0"/>
              <w:right w:val="single" w:color="auto" w:sz="4" w:space="0"/>
            </w:tcBorders>
            <w:noWrap w:val="0"/>
            <w:vAlign w:val="center"/>
          </w:tcPr>
          <w:p w14:paraId="6199AC2A">
            <w:pPr>
              <w:widowControl/>
              <w:shd w:val="clear" w:color="auto" w:fill="auto"/>
              <w:jc w:val="center"/>
              <w:rPr>
                <w:rFonts w:ascii="宋体" w:hAnsi="宋体" w:cs="宋体"/>
                <w:bCs/>
                <w:color w:val="auto"/>
                <w:kern w:val="0"/>
                <w:highlight w:val="none"/>
              </w:rPr>
            </w:pPr>
            <w:r>
              <w:rPr>
                <w:rFonts w:hint="eastAsia" w:ascii="宋体" w:hAnsi="宋体" w:cs="宋体"/>
                <w:bCs/>
                <w:color w:val="auto"/>
                <w:kern w:val="0"/>
                <w:highlight w:val="none"/>
              </w:rPr>
              <w:t>手机</w:t>
            </w:r>
          </w:p>
        </w:tc>
      </w:tr>
      <w:tr w14:paraId="671991B7">
        <w:tblPrEx>
          <w:tblCellMar>
            <w:top w:w="0" w:type="dxa"/>
            <w:left w:w="108" w:type="dxa"/>
            <w:bottom w:w="0" w:type="dxa"/>
            <w:right w:w="108" w:type="dxa"/>
          </w:tblCellMar>
        </w:tblPrEx>
        <w:trPr>
          <w:trHeight w:val="702" w:hRule="atLeast"/>
        </w:trPr>
        <w:tc>
          <w:tcPr>
            <w:tcW w:w="680" w:type="dxa"/>
            <w:vMerge w:val="continue"/>
            <w:tcBorders>
              <w:top w:val="nil"/>
              <w:left w:val="single" w:color="auto" w:sz="4" w:space="0"/>
              <w:bottom w:val="single" w:color="auto" w:sz="4" w:space="0"/>
              <w:right w:val="single" w:color="auto" w:sz="4" w:space="0"/>
            </w:tcBorders>
            <w:noWrap w:val="0"/>
            <w:vAlign w:val="center"/>
          </w:tcPr>
          <w:p w14:paraId="5CEE1068">
            <w:pPr>
              <w:widowControl/>
              <w:shd w:val="clear" w:color="auto" w:fill="auto"/>
              <w:jc w:val="left"/>
              <w:rPr>
                <w:rFonts w:ascii="宋体" w:hAnsi="宋体" w:cs="宋体"/>
                <w:bCs/>
                <w:color w:val="auto"/>
                <w:kern w:val="0"/>
                <w:highlight w:val="none"/>
              </w:rPr>
            </w:pPr>
          </w:p>
        </w:tc>
        <w:tc>
          <w:tcPr>
            <w:tcW w:w="1520" w:type="dxa"/>
            <w:vMerge w:val="continue"/>
            <w:tcBorders>
              <w:top w:val="nil"/>
              <w:left w:val="single" w:color="auto" w:sz="4" w:space="0"/>
              <w:bottom w:val="single" w:color="auto" w:sz="4" w:space="0"/>
              <w:right w:val="single" w:color="auto" w:sz="4" w:space="0"/>
            </w:tcBorders>
            <w:noWrap w:val="0"/>
            <w:vAlign w:val="center"/>
          </w:tcPr>
          <w:p w14:paraId="4E8C6B65">
            <w:pPr>
              <w:widowControl/>
              <w:shd w:val="clear" w:color="auto" w:fill="auto"/>
              <w:jc w:val="left"/>
              <w:rPr>
                <w:rFonts w:ascii="宋体" w:hAnsi="宋体" w:cs="宋体"/>
                <w:bCs/>
                <w:color w:val="auto"/>
                <w:kern w:val="0"/>
                <w:highlight w:val="none"/>
              </w:rPr>
            </w:pPr>
          </w:p>
        </w:tc>
        <w:tc>
          <w:tcPr>
            <w:tcW w:w="3080" w:type="dxa"/>
            <w:tcBorders>
              <w:top w:val="nil"/>
              <w:left w:val="nil"/>
              <w:bottom w:val="single" w:color="auto" w:sz="4" w:space="0"/>
              <w:right w:val="single" w:color="auto" w:sz="4" w:space="0"/>
            </w:tcBorders>
            <w:noWrap w:val="0"/>
            <w:vAlign w:val="center"/>
          </w:tcPr>
          <w:p w14:paraId="05A78EA7">
            <w:pPr>
              <w:widowControl/>
              <w:shd w:val="clear" w:color="auto" w:fill="auto"/>
              <w:jc w:val="center"/>
              <w:rPr>
                <w:rFonts w:ascii="宋体" w:hAnsi="宋体" w:cs="宋体"/>
                <w:bCs/>
                <w:color w:val="auto"/>
                <w:kern w:val="0"/>
                <w:highlight w:val="none"/>
              </w:rPr>
            </w:pPr>
            <w:r>
              <w:rPr>
                <w:rFonts w:hint="eastAsia" w:ascii="宋体" w:hAnsi="宋体" w:cs="宋体"/>
                <w:bCs/>
                <w:color w:val="auto"/>
                <w:kern w:val="0"/>
                <w:highlight w:val="none"/>
              </w:rPr>
              <w:t>　</w:t>
            </w:r>
          </w:p>
        </w:tc>
        <w:tc>
          <w:tcPr>
            <w:tcW w:w="3080" w:type="dxa"/>
            <w:tcBorders>
              <w:top w:val="nil"/>
              <w:left w:val="nil"/>
              <w:bottom w:val="single" w:color="auto" w:sz="4" w:space="0"/>
              <w:right w:val="single" w:color="auto" w:sz="4" w:space="0"/>
            </w:tcBorders>
            <w:noWrap w:val="0"/>
            <w:vAlign w:val="center"/>
          </w:tcPr>
          <w:p w14:paraId="79903CEA">
            <w:pPr>
              <w:widowControl/>
              <w:shd w:val="clear" w:color="auto" w:fill="auto"/>
              <w:jc w:val="center"/>
              <w:rPr>
                <w:rFonts w:ascii="宋体" w:hAnsi="宋体" w:cs="宋体"/>
                <w:bCs/>
                <w:color w:val="auto"/>
                <w:kern w:val="0"/>
                <w:highlight w:val="none"/>
              </w:rPr>
            </w:pPr>
            <w:r>
              <w:rPr>
                <w:rFonts w:hint="eastAsia" w:ascii="宋体" w:hAnsi="宋体" w:cs="宋体"/>
                <w:bCs/>
                <w:color w:val="auto"/>
                <w:kern w:val="0"/>
                <w:highlight w:val="none"/>
              </w:rPr>
              <w:t>　</w:t>
            </w:r>
          </w:p>
        </w:tc>
        <w:tc>
          <w:tcPr>
            <w:tcW w:w="3080" w:type="dxa"/>
            <w:tcBorders>
              <w:top w:val="nil"/>
              <w:left w:val="nil"/>
              <w:bottom w:val="single" w:color="auto" w:sz="4" w:space="0"/>
              <w:right w:val="single" w:color="auto" w:sz="4" w:space="0"/>
            </w:tcBorders>
            <w:noWrap w:val="0"/>
            <w:vAlign w:val="center"/>
          </w:tcPr>
          <w:p w14:paraId="786E1873">
            <w:pPr>
              <w:widowControl/>
              <w:shd w:val="clear" w:color="auto" w:fill="auto"/>
              <w:jc w:val="center"/>
              <w:rPr>
                <w:rFonts w:ascii="宋体" w:hAnsi="宋体" w:cs="宋体"/>
                <w:bCs/>
                <w:color w:val="auto"/>
                <w:kern w:val="0"/>
                <w:highlight w:val="none"/>
              </w:rPr>
            </w:pPr>
            <w:r>
              <w:rPr>
                <w:rFonts w:hint="eastAsia" w:ascii="宋体" w:hAnsi="宋体" w:cs="宋体"/>
                <w:bCs/>
                <w:color w:val="auto"/>
                <w:kern w:val="0"/>
                <w:highlight w:val="none"/>
              </w:rPr>
              <w:t>　</w:t>
            </w:r>
          </w:p>
        </w:tc>
        <w:tc>
          <w:tcPr>
            <w:tcW w:w="3080" w:type="dxa"/>
            <w:tcBorders>
              <w:top w:val="nil"/>
              <w:left w:val="nil"/>
              <w:bottom w:val="single" w:color="auto" w:sz="4" w:space="0"/>
              <w:right w:val="single" w:color="auto" w:sz="4" w:space="0"/>
            </w:tcBorders>
            <w:noWrap w:val="0"/>
            <w:vAlign w:val="center"/>
          </w:tcPr>
          <w:p w14:paraId="7FDBF3E4">
            <w:pPr>
              <w:widowControl/>
              <w:shd w:val="clear" w:color="auto" w:fill="auto"/>
              <w:jc w:val="center"/>
              <w:rPr>
                <w:rFonts w:ascii="宋体" w:hAnsi="宋体" w:cs="宋体"/>
                <w:bCs/>
                <w:color w:val="auto"/>
                <w:kern w:val="0"/>
                <w:highlight w:val="none"/>
              </w:rPr>
            </w:pPr>
            <w:r>
              <w:rPr>
                <w:rFonts w:hint="eastAsia" w:ascii="宋体" w:hAnsi="宋体" w:cs="宋体"/>
                <w:bCs/>
                <w:color w:val="auto"/>
                <w:kern w:val="0"/>
                <w:highlight w:val="none"/>
              </w:rPr>
              <w:t>　</w:t>
            </w:r>
          </w:p>
        </w:tc>
      </w:tr>
      <w:tr w14:paraId="28A83D1B">
        <w:tblPrEx>
          <w:tblCellMar>
            <w:top w:w="0" w:type="dxa"/>
            <w:left w:w="108" w:type="dxa"/>
            <w:bottom w:w="0" w:type="dxa"/>
            <w:right w:w="108" w:type="dxa"/>
          </w:tblCellMar>
        </w:tblPrEx>
        <w:trPr>
          <w:trHeight w:val="702" w:hRule="atLeast"/>
        </w:trPr>
        <w:tc>
          <w:tcPr>
            <w:tcW w:w="680" w:type="dxa"/>
            <w:vMerge w:val="restart"/>
            <w:tcBorders>
              <w:top w:val="nil"/>
              <w:left w:val="single" w:color="auto" w:sz="4" w:space="0"/>
              <w:bottom w:val="single" w:color="auto" w:sz="4" w:space="0"/>
              <w:right w:val="single" w:color="auto" w:sz="4" w:space="0"/>
            </w:tcBorders>
            <w:noWrap w:val="0"/>
            <w:vAlign w:val="center"/>
          </w:tcPr>
          <w:p w14:paraId="03E14E25">
            <w:pPr>
              <w:widowControl/>
              <w:shd w:val="clear" w:color="auto" w:fill="auto"/>
              <w:jc w:val="center"/>
              <w:rPr>
                <w:rFonts w:ascii="宋体" w:hAnsi="宋体" w:cs="宋体"/>
                <w:bCs/>
                <w:color w:val="auto"/>
                <w:kern w:val="0"/>
                <w:highlight w:val="none"/>
              </w:rPr>
            </w:pPr>
            <w:r>
              <w:rPr>
                <w:rFonts w:hint="eastAsia" w:ascii="宋体" w:hAnsi="宋体" w:cs="宋体"/>
                <w:bCs/>
                <w:color w:val="auto"/>
                <w:kern w:val="0"/>
                <w:highlight w:val="none"/>
              </w:rPr>
              <w:t>备注</w:t>
            </w:r>
          </w:p>
        </w:tc>
        <w:tc>
          <w:tcPr>
            <w:tcW w:w="13840" w:type="dxa"/>
            <w:gridSpan w:val="5"/>
            <w:tcBorders>
              <w:top w:val="nil"/>
              <w:left w:val="nil"/>
              <w:bottom w:val="nil"/>
              <w:right w:val="single" w:color="000000" w:sz="4" w:space="0"/>
            </w:tcBorders>
            <w:noWrap w:val="0"/>
            <w:vAlign w:val="center"/>
          </w:tcPr>
          <w:p w14:paraId="55733394">
            <w:pPr>
              <w:widowControl/>
              <w:shd w:val="clear" w:color="auto" w:fill="auto"/>
              <w:jc w:val="left"/>
              <w:rPr>
                <w:rFonts w:ascii="宋体" w:hAnsi="宋体" w:cs="宋体"/>
                <w:bCs/>
                <w:color w:val="auto"/>
                <w:kern w:val="0"/>
                <w:highlight w:val="none"/>
              </w:rPr>
            </w:pPr>
          </w:p>
        </w:tc>
      </w:tr>
      <w:tr w14:paraId="74D64EFE">
        <w:tblPrEx>
          <w:tblCellMar>
            <w:top w:w="0" w:type="dxa"/>
            <w:left w:w="108" w:type="dxa"/>
            <w:bottom w:w="0" w:type="dxa"/>
            <w:right w:w="108" w:type="dxa"/>
          </w:tblCellMar>
        </w:tblPrEx>
        <w:trPr>
          <w:trHeight w:val="874" w:hRule="atLeast"/>
        </w:trPr>
        <w:tc>
          <w:tcPr>
            <w:tcW w:w="680" w:type="dxa"/>
            <w:vMerge w:val="continue"/>
            <w:tcBorders>
              <w:top w:val="nil"/>
              <w:left w:val="single" w:color="auto" w:sz="4" w:space="0"/>
              <w:bottom w:val="single" w:color="auto" w:sz="4" w:space="0"/>
              <w:right w:val="single" w:color="auto" w:sz="4" w:space="0"/>
            </w:tcBorders>
            <w:noWrap w:val="0"/>
            <w:vAlign w:val="center"/>
          </w:tcPr>
          <w:p w14:paraId="225436FF">
            <w:pPr>
              <w:widowControl/>
              <w:shd w:val="clear" w:color="auto" w:fill="auto"/>
              <w:jc w:val="left"/>
              <w:rPr>
                <w:rFonts w:ascii="宋体" w:hAnsi="宋体" w:cs="宋体"/>
                <w:bCs/>
                <w:color w:val="auto"/>
                <w:kern w:val="0"/>
                <w:highlight w:val="none"/>
              </w:rPr>
            </w:pPr>
          </w:p>
        </w:tc>
        <w:tc>
          <w:tcPr>
            <w:tcW w:w="13840" w:type="dxa"/>
            <w:gridSpan w:val="5"/>
            <w:tcBorders>
              <w:top w:val="nil"/>
              <w:left w:val="nil"/>
              <w:bottom w:val="single" w:color="auto" w:sz="4" w:space="0"/>
              <w:right w:val="single" w:color="000000" w:sz="4" w:space="0"/>
            </w:tcBorders>
            <w:noWrap w:val="0"/>
            <w:vAlign w:val="center"/>
          </w:tcPr>
          <w:p w14:paraId="048EF728">
            <w:pPr>
              <w:widowControl/>
              <w:shd w:val="clear" w:color="auto" w:fill="auto"/>
              <w:jc w:val="left"/>
              <w:rPr>
                <w:rFonts w:ascii="宋体" w:hAnsi="宋体" w:cs="宋体"/>
                <w:bCs/>
                <w:color w:val="auto"/>
                <w:kern w:val="0"/>
                <w:highlight w:val="none"/>
              </w:rPr>
            </w:pPr>
          </w:p>
        </w:tc>
      </w:tr>
    </w:tbl>
    <w:p w14:paraId="4240CA98"/>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5763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6B0A18"/>
    <w:multiLevelType w:val="singleLevel"/>
    <w:tmpl w:val="016B0A18"/>
    <w:lvl w:ilvl="0" w:tentative="0">
      <w:start w:val="9"/>
      <w:numFmt w:val="decimal"/>
      <w:suff w:val="space"/>
      <w:lvlText w:val="%1."/>
      <w:lvlJc w:val="left"/>
    </w:lvl>
  </w:abstractNum>
  <w:abstractNum w:abstractNumId="1">
    <w:nsid w:val="0BB4353C"/>
    <w:multiLevelType w:val="multilevel"/>
    <w:tmpl w:val="0BB4353C"/>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3BB5A99"/>
    <w:multiLevelType w:val="multilevel"/>
    <w:tmpl w:val="33BB5A99"/>
    <w:lvl w:ilvl="0" w:tentative="0">
      <w:start w:val="1"/>
      <w:numFmt w:val="chineseCountingThousand"/>
      <w:lvlText w:val="%1、"/>
      <w:lvlJc w:val="left"/>
      <w:pPr>
        <w:tabs>
          <w:tab w:val="left" w:pos="846"/>
        </w:tabs>
        <w:ind w:left="846" w:hanging="420"/>
      </w:pPr>
      <w:rPr>
        <w:rFonts w:hint="eastAsia"/>
        <w:b w:val="0"/>
        <w:bCs w:val="0"/>
        <w:i w:val="0"/>
        <w:iCs w:val="0"/>
        <w:color w:val="auto"/>
        <w:sz w:val="21"/>
        <w:szCs w:val="21"/>
      </w:rPr>
    </w:lvl>
    <w:lvl w:ilvl="1" w:tentative="0">
      <w:start w:val="1"/>
      <w:numFmt w:val="lowerLetter"/>
      <w:lvlText w:val="%2)"/>
      <w:lvlJc w:val="left"/>
      <w:pPr>
        <w:tabs>
          <w:tab w:val="left" w:pos="380"/>
        </w:tabs>
        <w:ind w:left="380" w:hanging="420"/>
      </w:pPr>
    </w:lvl>
    <w:lvl w:ilvl="2" w:tentative="0">
      <w:start w:val="1"/>
      <w:numFmt w:val="lowerRoman"/>
      <w:lvlText w:val="%3."/>
      <w:lvlJc w:val="right"/>
      <w:pPr>
        <w:tabs>
          <w:tab w:val="left" w:pos="800"/>
        </w:tabs>
        <w:ind w:left="800" w:hanging="420"/>
      </w:pPr>
    </w:lvl>
    <w:lvl w:ilvl="3" w:tentative="0">
      <w:start w:val="1"/>
      <w:numFmt w:val="decimal"/>
      <w:lvlText w:val="%4."/>
      <w:lvlJc w:val="left"/>
      <w:pPr>
        <w:tabs>
          <w:tab w:val="left" w:pos="1220"/>
        </w:tabs>
        <w:ind w:left="1220" w:hanging="420"/>
      </w:pPr>
    </w:lvl>
    <w:lvl w:ilvl="4" w:tentative="0">
      <w:start w:val="1"/>
      <w:numFmt w:val="lowerLetter"/>
      <w:lvlText w:val="%5)"/>
      <w:lvlJc w:val="left"/>
      <w:pPr>
        <w:tabs>
          <w:tab w:val="left" w:pos="1640"/>
        </w:tabs>
        <w:ind w:left="1640" w:hanging="420"/>
      </w:pPr>
    </w:lvl>
    <w:lvl w:ilvl="5" w:tentative="0">
      <w:start w:val="1"/>
      <w:numFmt w:val="lowerRoman"/>
      <w:lvlText w:val="%6."/>
      <w:lvlJc w:val="right"/>
      <w:pPr>
        <w:tabs>
          <w:tab w:val="left" w:pos="2060"/>
        </w:tabs>
        <w:ind w:left="2060" w:hanging="420"/>
      </w:pPr>
    </w:lvl>
    <w:lvl w:ilvl="6" w:tentative="0">
      <w:start w:val="1"/>
      <w:numFmt w:val="decimal"/>
      <w:lvlText w:val="%7."/>
      <w:lvlJc w:val="left"/>
      <w:pPr>
        <w:tabs>
          <w:tab w:val="left" w:pos="2480"/>
        </w:tabs>
        <w:ind w:left="2480" w:hanging="420"/>
      </w:pPr>
    </w:lvl>
    <w:lvl w:ilvl="7" w:tentative="0">
      <w:start w:val="1"/>
      <w:numFmt w:val="lowerLetter"/>
      <w:lvlText w:val="%8)"/>
      <w:lvlJc w:val="left"/>
      <w:pPr>
        <w:tabs>
          <w:tab w:val="left" w:pos="2900"/>
        </w:tabs>
        <w:ind w:left="2900" w:hanging="420"/>
      </w:pPr>
    </w:lvl>
    <w:lvl w:ilvl="8" w:tentative="0">
      <w:start w:val="1"/>
      <w:numFmt w:val="lowerRoman"/>
      <w:lvlText w:val="%9."/>
      <w:lvlJc w:val="right"/>
      <w:pPr>
        <w:tabs>
          <w:tab w:val="left" w:pos="3320"/>
        </w:tabs>
        <w:ind w:left="33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22F9D"/>
    <w:rsid w:val="02FE261B"/>
    <w:rsid w:val="1A167DBD"/>
    <w:rsid w:val="1ED93984"/>
    <w:rsid w:val="2C123DAD"/>
    <w:rsid w:val="333B1D03"/>
    <w:rsid w:val="33CC205D"/>
    <w:rsid w:val="3EE02D96"/>
    <w:rsid w:val="51E67581"/>
    <w:rsid w:val="5B174637"/>
    <w:rsid w:val="5BD13050"/>
    <w:rsid w:val="5D3C742C"/>
    <w:rsid w:val="6E642814"/>
    <w:rsid w:val="72436A2B"/>
    <w:rsid w:val="736F0AE3"/>
    <w:rsid w:val="74955453"/>
    <w:rsid w:val="751D3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99"/>
    <w:pPr>
      <w:ind w:firstLine="360"/>
    </w:pPr>
    <w:rPr>
      <w:rFonts w:ascii="Arial" w:hAnsi="Arial" w:cs="Arial"/>
    </w:rPr>
  </w:style>
  <w:style w:type="paragraph" w:customStyle="1" w:styleId="5">
    <w:name w:val="Table Paragraph"/>
    <w:basedOn w:val="1"/>
    <w:qFormat/>
    <w:uiPriority w:val="1"/>
    <w:pPr>
      <w:jc w:val="left"/>
    </w:pPr>
    <w:rPr>
      <w:rFonts w:ascii="Calibri" w:hAnsi="Calibri" w:cs="Calibri"/>
      <w:kern w:val="0"/>
      <w:sz w:val="22"/>
      <w:szCs w:val="22"/>
      <w:lang w:eastAsia="en-US"/>
    </w:rPr>
  </w:style>
  <w:style w:type="paragraph" w:customStyle="1" w:styleId="6">
    <w:name w:val="正文缩进1"/>
    <w:basedOn w:val="7"/>
    <w:qFormat/>
    <w:uiPriority w:val="0"/>
    <w:pPr>
      <w:spacing w:line="360" w:lineRule="auto"/>
      <w:ind w:firstLine="200" w:firstLineChars="200"/>
    </w:pPr>
    <w:rPr>
      <w:rFonts w:hint="default"/>
      <w:sz w:val="24"/>
    </w:rPr>
  </w:style>
  <w:style w:type="paragraph" w:customStyle="1" w:styleId="7">
    <w:name w:val="正文1"/>
    <w:basedOn w:val="1"/>
    <w:next w:val="8"/>
    <w:qFormat/>
    <w:uiPriority w:val="99"/>
    <w:pPr>
      <w:adjustRightInd w:val="0"/>
      <w:spacing w:line="312" w:lineRule="atLeast"/>
    </w:pPr>
    <w:rPr>
      <w:kern w:val="0"/>
      <w:sz w:val="28"/>
      <w:szCs w:val="28"/>
    </w:rPr>
  </w:style>
  <w:style w:type="paragraph" w:customStyle="1" w:styleId="8">
    <w:name w:val="标题 21"/>
    <w:basedOn w:val="7"/>
    <w:next w:val="7"/>
    <w:qFormat/>
    <w:uiPriority w:val="0"/>
    <w:pPr>
      <w:keepNext/>
      <w:keepLines/>
      <w:spacing w:line="416" w:lineRule="auto"/>
      <w:outlineLvl w:val="1"/>
    </w:pPr>
    <w:rPr>
      <w:rFonts w:ascii="Arial" w:hAnsi="Arial" w:eastAsia="黑体"/>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3635</Words>
  <Characters>3983</Characters>
  <Lines>0</Lines>
  <Paragraphs>0</Paragraphs>
  <TotalTime>1</TotalTime>
  <ScaleCrop>false</ScaleCrop>
  <LinksUpToDate>false</LinksUpToDate>
  <CharactersWithSpaces>4017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2026-07-03T06:37:00Z</dcterms:created>
  <dc:creator>Administrator</dc:creator>
  <cp:lastModifiedBy>H</cp:lastModifiedBy>
  <dcterms:modified xsi:type="dcterms:W3CDTF">2026-07-03T07:34:07Z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eyJoZGlkIjoiZWQyODkwOWMwYmNlZGI1YjBjMTQwOTE4MjU1ZmM5NTUiLCJ1c2VySWQiOiI2MjE4NzkyNDYifQ==</vt:lpwstr>
  </property>
  <property fmtid="{D5CDD505-2E9C-101B-9397-08002B2CF9AE}" pid="4" name="ICV">
    <vt:lpwstr>50E1F9942552469EADFF01AE86E4B65C_12</vt:lpwstr>
  </property>
</Properties>
</file>