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010D7">
      <w:pPr>
        <w:jc w:val="center"/>
        <w:rPr>
          <w:rFonts w:hint="eastAsia"/>
          <w:b/>
          <w:bCs/>
          <w:sz w:val="36"/>
          <w:szCs w:val="44"/>
          <w:lang w:val="en-US" w:eastAsia="zh-CN"/>
        </w:rPr>
      </w:pPr>
      <w:r>
        <w:rPr>
          <w:rFonts w:hint="eastAsia"/>
          <w:b/>
          <w:bCs/>
          <w:sz w:val="36"/>
          <w:szCs w:val="44"/>
          <w:lang w:val="en-US" w:eastAsia="zh-CN"/>
        </w:rPr>
        <w:t>风雲公寓（福今）修缮项目</w:t>
      </w:r>
    </w:p>
    <w:p w14:paraId="419ADBB3">
      <w:pPr>
        <w:jc w:val="center"/>
        <w:rPr>
          <w:rFonts w:hint="default"/>
          <w:b/>
          <w:bCs/>
          <w:sz w:val="36"/>
          <w:szCs w:val="44"/>
          <w:lang w:val="en-US"/>
        </w:rPr>
      </w:pPr>
      <w:r>
        <w:rPr>
          <w:rFonts w:hint="eastAsia"/>
          <w:b/>
          <w:bCs/>
          <w:sz w:val="36"/>
          <w:szCs w:val="44"/>
          <w:lang w:val="en-US" w:eastAsia="zh-CN"/>
        </w:rPr>
        <w:t>招标公告</w:t>
      </w:r>
    </w:p>
    <w:p w14:paraId="2EC0EBFC">
      <w:pPr>
        <w:ind w:left="0" w:leftChars="0" w:firstLine="420" w:firstLineChars="200"/>
        <w:rPr>
          <w:rFonts w:hint="eastAsia"/>
          <w:lang w:eastAsia="zh-CN"/>
        </w:rPr>
      </w:pPr>
      <w:r>
        <w:rPr>
          <w:rFonts w:hint="eastAsia"/>
          <w:lang w:eastAsia="zh-CN"/>
        </w:rPr>
        <w:t>广东省象宇酒店管理有限责任公司（以下简称“招标人”）就以下招标项目进行公开招标，欢迎符合资格条件的供应商参与。</w:t>
      </w:r>
    </w:p>
    <w:p w14:paraId="112605D2">
      <w:pPr>
        <w:ind w:left="0" w:leftChars="0" w:firstLine="422" w:firstLineChars="200"/>
        <w:rPr>
          <w:rFonts w:hint="default"/>
          <w:b/>
          <w:bCs/>
          <w:lang w:val="en-US"/>
        </w:rPr>
      </w:pPr>
      <w:r>
        <w:rPr>
          <w:rFonts w:hint="eastAsia"/>
          <w:b/>
          <w:bCs/>
        </w:rPr>
        <w:t>一、</w:t>
      </w:r>
      <w:r>
        <w:rPr>
          <w:rFonts w:hint="eastAsia"/>
          <w:b/>
          <w:bCs/>
          <w:lang w:val="en-US" w:eastAsia="zh-CN"/>
        </w:rPr>
        <w:t>项目名称</w:t>
      </w:r>
    </w:p>
    <w:p w14:paraId="7ACD1AA2">
      <w:pPr>
        <w:ind w:left="0" w:leftChars="0" w:firstLine="420" w:firstLineChars="200"/>
        <w:rPr>
          <w:rFonts w:hint="eastAsia"/>
          <w:lang w:eastAsia="zh-CN"/>
        </w:rPr>
      </w:pPr>
      <w:r>
        <w:rPr>
          <w:rFonts w:hint="eastAsia"/>
          <w:lang w:eastAsia="zh-CN"/>
        </w:rPr>
        <w:t>风雲公寓（福今）修缮项目</w:t>
      </w:r>
    </w:p>
    <w:p w14:paraId="22151D7B">
      <w:pPr>
        <w:ind w:left="0" w:leftChars="0" w:firstLine="422" w:firstLineChars="200"/>
        <w:rPr>
          <w:rFonts w:hint="eastAsia"/>
          <w:b/>
          <w:bCs/>
        </w:rPr>
      </w:pPr>
      <w:r>
        <w:rPr>
          <w:rFonts w:hint="eastAsia"/>
          <w:b/>
          <w:bCs/>
          <w:lang w:val="en-US" w:eastAsia="zh-CN"/>
        </w:rPr>
        <w:t>二、</w:t>
      </w:r>
      <w:r>
        <w:rPr>
          <w:rFonts w:hint="eastAsia"/>
          <w:b/>
          <w:bCs/>
        </w:rPr>
        <w:t>项目类别</w:t>
      </w:r>
    </w:p>
    <w:p w14:paraId="63746F2F">
      <w:pPr>
        <w:ind w:left="0" w:leftChars="0" w:firstLine="420" w:firstLineChars="200"/>
        <w:rPr>
          <w:rFonts w:hint="eastAsia"/>
          <w:lang w:eastAsia="zh-CN"/>
        </w:rPr>
      </w:pPr>
      <w:r>
        <w:rPr>
          <w:rFonts w:hint="eastAsia"/>
          <w:lang w:eastAsia="zh-CN"/>
        </w:rPr>
        <w:t>工程类</w:t>
      </w:r>
    </w:p>
    <w:p w14:paraId="26331CB0">
      <w:pPr>
        <w:ind w:left="0" w:leftChars="0" w:firstLine="422" w:firstLineChars="200"/>
        <w:rPr>
          <w:rFonts w:hint="eastAsia"/>
          <w:b/>
          <w:bCs/>
          <w:lang w:val="en-US" w:eastAsia="zh-CN"/>
        </w:rPr>
      </w:pPr>
      <w:r>
        <w:rPr>
          <w:rFonts w:hint="eastAsia"/>
          <w:b/>
          <w:bCs/>
          <w:lang w:val="en-US" w:eastAsia="zh-CN"/>
        </w:rPr>
        <w:t>三、</w:t>
      </w:r>
      <w:r>
        <w:rPr>
          <w:rFonts w:hint="eastAsia"/>
          <w:b/>
          <w:bCs/>
          <w:lang w:eastAsia="zh-CN"/>
        </w:rPr>
        <w:t>招标</w:t>
      </w:r>
      <w:r>
        <w:rPr>
          <w:rFonts w:hint="eastAsia"/>
          <w:b/>
          <w:bCs/>
          <w:lang w:val="en-US" w:eastAsia="zh-CN"/>
        </w:rPr>
        <w:t>方式</w:t>
      </w:r>
    </w:p>
    <w:p w14:paraId="7F41428C">
      <w:pPr>
        <w:ind w:left="0" w:leftChars="0" w:firstLine="420" w:firstLineChars="200"/>
        <w:rPr>
          <w:rFonts w:hint="default"/>
          <w:lang w:val="en-US" w:eastAsia="zh-CN"/>
        </w:rPr>
      </w:pPr>
      <w:r>
        <w:rPr>
          <w:rFonts w:hint="eastAsia"/>
          <w:lang w:val="en-US" w:eastAsia="zh-CN"/>
        </w:rPr>
        <w:t>公开招标</w:t>
      </w:r>
    </w:p>
    <w:p w14:paraId="126428E3">
      <w:pPr>
        <w:ind w:left="0" w:leftChars="0" w:firstLine="422" w:firstLineChars="200"/>
        <w:rPr>
          <w:rFonts w:hint="eastAsia"/>
          <w:b/>
          <w:bCs/>
        </w:rPr>
      </w:pPr>
      <w:r>
        <w:rPr>
          <w:rFonts w:hint="eastAsia"/>
          <w:b/>
          <w:bCs/>
          <w:lang w:val="en-US" w:eastAsia="zh-CN"/>
        </w:rPr>
        <w:t>四、招标内容</w:t>
      </w:r>
    </w:p>
    <w:p w14:paraId="635C7476">
      <w:pPr>
        <w:ind w:left="0" w:leftChars="0" w:firstLine="420" w:firstLineChars="200"/>
        <w:rPr>
          <w:rFonts w:hint="eastAsia"/>
        </w:rPr>
      </w:pPr>
      <w:r>
        <w:rPr>
          <w:rFonts w:hint="eastAsia"/>
        </w:rPr>
        <w:t>项目概况：</w:t>
      </w:r>
      <w:r>
        <w:rPr>
          <w:rFonts w:hint="eastAsia"/>
          <w:lang w:eastAsia="zh-CN"/>
        </w:rPr>
        <w:t>本项目包括风雲公寓（福今）修缮。建筑面积约1300㎡，建筑高度22m。对风雲公寓</w:t>
      </w:r>
      <w:r>
        <w:rPr>
          <w:rFonts w:hint="eastAsia"/>
          <w:lang w:val="en-US" w:eastAsia="zh-CN"/>
        </w:rPr>
        <w:t>三</w:t>
      </w:r>
      <w:r>
        <w:rPr>
          <w:rFonts w:hint="eastAsia"/>
          <w:lang w:eastAsia="zh-CN"/>
        </w:rPr>
        <w:t>、四、五、六层室内进行修缮，本次修缮不涉及基础、柱、梁、板、承重墙等结构承重构件的任何改动。包括但不限于砌筑工程、门窗工程、防水工程、地面装饰工程、墙面装饰工程、电气工程、给排水工程、</w:t>
      </w:r>
      <w:r>
        <w:rPr>
          <w:rFonts w:hint="eastAsia"/>
          <w:lang w:val="en-US" w:eastAsia="zh-CN"/>
        </w:rPr>
        <w:t>消防工程</w:t>
      </w:r>
      <w:r>
        <w:rPr>
          <w:rFonts w:hint="eastAsia"/>
          <w:lang w:eastAsia="zh-CN"/>
        </w:rPr>
        <w:t>等内容。</w:t>
      </w:r>
      <w:r>
        <w:rPr>
          <w:rFonts w:hint="eastAsia"/>
        </w:rPr>
        <w:t>具体以本项目的招标文件、工程建设标准、招标图纸、工程量清单及有关资料说明为准。</w:t>
      </w:r>
    </w:p>
    <w:p w14:paraId="357C10FE">
      <w:pPr>
        <w:ind w:left="0" w:leftChars="0" w:firstLine="420" w:firstLineChars="200"/>
        <w:rPr>
          <w:rFonts w:hint="default"/>
          <w:lang w:val="en-US" w:eastAsia="zh-CN"/>
        </w:rPr>
      </w:pPr>
      <w:r>
        <w:rPr>
          <w:rFonts w:hint="eastAsia"/>
        </w:rPr>
        <w:t>招标内容</w:t>
      </w:r>
      <w:r>
        <w:rPr>
          <w:rFonts w:hint="eastAsia"/>
          <w:lang w:eastAsia="zh-CN"/>
        </w:rPr>
        <w:t>：</w:t>
      </w:r>
      <w:r>
        <w:rPr>
          <w:rFonts w:hint="eastAsia"/>
        </w:rPr>
        <w:t>包括但不限于本招标项目设计范围内所有工程内容的施工准备及施工、配合相关部门结（决）算审核、竣工图编制、工程保修等工作，组织本项目的验收备案和工程资料汇总及整理归档工作、负责办理工程开工及验收所需的各项手续并承担办理上述手续施工方的费用、完成施工其它相关工作、负责协调施工过程中的相关职能部门及周边居民、安全文明措施等。</w:t>
      </w:r>
      <w:r>
        <w:rPr>
          <w:rFonts w:hint="eastAsia"/>
          <w:lang w:val="en-US" w:eastAsia="zh-CN"/>
        </w:rPr>
        <w:t>具体以本项目的招标文件、工程建设标准、招标图纸、工程量清单及有关资料说明为准。</w:t>
      </w:r>
    </w:p>
    <w:p w14:paraId="28D8512C">
      <w:pPr>
        <w:ind w:left="0" w:leftChars="0" w:firstLine="420" w:firstLineChars="200"/>
        <w:rPr>
          <w:rFonts w:hint="eastAsia"/>
          <w:lang w:eastAsia="zh-CN"/>
        </w:rPr>
      </w:pPr>
      <w:r>
        <w:rPr>
          <w:rFonts w:hint="eastAsia"/>
          <w:lang w:val="en-US" w:eastAsia="zh-CN"/>
        </w:rPr>
        <w:t>工期</w:t>
      </w:r>
      <w:r>
        <w:rPr>
          <w:rFonts w:hint="eastAsia"/>
          <w:lang w:eastAsia="zh-CN"/>
        </w:rPr>
        <w:t>：</w:t>
      </w:r>
      <w:r>
        <w:rPr>
          <w:rFonts w:hint="eastAsia"/>
          <w:lang w:eastAsia="zh-CN"/>
        </w:rPr>
        <w:t>本次招标工期为</w:t>
      </w:r>
      <w:r>
        <w:rPr>
          <w:rFonts w:hint="eastAsia"/>
          <w:lang w:val="en-US" w:eastAsia="zh-CN"/>
        </w:rPr>
        <w:t>150个日历天</w:t>
      </w:r>
      <w:r>
        <w:rPr>
          <w:rFonts w:hint="eastAsia"/>
          <w:lang w:eastAsia="zh-CN"/>
        </w:rPr>
        <w:t>。</w:t>
      </w:r>
    </w:p>
    <w:p w14:paraId="48177377">
      <w:pPr>
        <w:ind w:left="0" w:leftChars="0" w:firstLine="422" w:firstLineChars="200"/>
        <w:rPr>
          <w:rFonts w:hint="eastAsia"/>
          <w:b/>
          <w:bCs/>
        </w:rPr>
      </w:pPr>
      <w:r>
        <w:rPr>
          <w:rFonts w:hint="eastAsia"/>
          <w:b/>
          <w:bCs/>
          <w:lang w:val="en-US" w:eastAsia="zh-CN"/>
        </w:rPr>
        <w:t>五、招标控制价</w:t>
      </w:r>
    </w:p>
    <w:p w14:paraId="4DB43879">
      <w:pPr>
        <w:ind w:left="0" w:leftChars="0" w:firstLine="420" w:firstLineChars="200"/>
        <w:rPr>
          <w:rFonts w:hint="eastAsia"/>
          <w:lang w:val="en-US" w:eastAsia="zh-CN"/>
        </w:rPr>
      </w:pPr>
      <w:r>
        <w:rPr>
          <w:rFonts w:hint="eastAsia"/>
          <w:lang w:eastAsia="zh-CN"/>
        </w:rPr>
        <w:t>最高投标限价（即招标控制价）：</w:t>
      </w:r>
      <w:r>
        <w:rPr>
          <w:rFonts w:hint="eastAsia"/>
          <w:lang w:val="en-US" w:eastAsia="zh-CN"/>
        </w:rPr>
        <w:t>3798638.81</w:t>
      </w:r>
      <w:r>
        <w:rPr>
          <w:rFonts w:hint="eastAsia"/>
          <w:lang w:val="en-US" w:eastAsia="zh-CN"/>
        </w:rPr>
        <w:t>元（其中</w:t>
      </w:r>
      <w:r>
        <w:rPr>
          <w:rFonts w:hint="eastAsia"/>
        </w:rPr>
        <w:t>非竞争费用</w:t>
      </w:r>
      <w:r>
        <w:rPr>
          <w:rFonts w:hint="eastAsia"/>
          <w:lang w:eastAsia="zh-CN"/>
        </w:rPr>
        <w:t>：</w:t>
      </w:r>
      <w:r>
        <w:rPr>
          <w:rFonts w:hint="eastAsia"/>
        </w:rPr>
        <w:t>安全生产措施费为</w:t>
      </w:r>
      <w:r>
        <w:rPr>
          <w:rFonts w:hint="eastAsia"/>
          <w:lang w:val="en-US" w:eastAsia="zh-CN"/>
        </w:rPr>
        <w:t>92719.68元</w:t>
      </w:r>
      <w:r>
        <w:rPr>
          <w:rFonts w:hint="eastAsia"/>
        </w:rPr>
        <w:t>，暂列金额为</w:t>
      </w:r>
      <w:r>
        <w:rPr>
          <w:rFonts w:hint="eastAsia"/>
          <w:lang w:val="en-US" w:eastAsia="zh-CN"/>
        </w:rPr>
        <w:t>294371.96</w:t>
      </w:r>
      <w:r>
        <w:rPr>
          <w:rFonts w:hint="eastAsia"/>
          <w:lang w:val="en-US" w:eastAsia="zh-CN"/>
        </w:rPr>
        <w:t>元）</w:t>
      </w:r>
      <w:r>
        <w:rPr>
          <w:rFonts w:hint="eastAsia"/>
          <w:lang w:val="en-US" w:eastAsia="zh-CN"/>
        </w:rPr>
        <w:t>，详见</w:t>
      </w:r>
      <w:r>
        <w:rPr>
          <w:rFonts w:hint="eastAsia"/>
          <w:lang w:val="en-US" w:eastAsia="zh-CN"/>
        </w:rPr>
        <w:t>最高投标限价公布函</w:t>
      </w:r>
      <w:r>
        <w:rPr>
          <w:rFonts w:hint="eastAsia"/>
          <w:lang w:val="en-US" w:eastAsia="zh-CN"/>
        </w:rPr>
        <w:t>。</w:t>
      </w:r>
    </w:p>
    <w:p w14:paraId="25B66E60">
      <w:pPr>
        <w:ind w:left="0" w:leftChars="0" w:firstLine="422" w:firstLineChars="200"/>
        <w:rPr>
          <w:rFonts w:hint="eastAsia"/>
          <w:b/>
          <w:bCs/>
        </w:rPr>
      </w:pPr>
      <w:r>
        <w:rPr>
          <w:rFonts w:hint="eastAsia"/>
          <w:b/>
          <w:bCs/>
          <w:lang w:val="en-US" w:eastAsia="zh-CN"/>
        </w:rPr>
        <w:t>六、投标人资格条件</w:t>
      </w:r>
    </w:p>
    <w:p w14:paraId="455EB236">
      <w:pPr>
        <w:ind w:left="0" w:leftChars="0" w:firstLine="420" w:firstLineChars="200"/>
      </w:pPr>
      <w:r>
        <w:rPr>
          <w:rFonts w:hint="eastAsia"/>
        </w:rPr>
        <w:t>1、投标人参加投标的意思表达清楚，投标人代表被授权有效。</w:t>
      </w:r>
    </w:p>
    <w:p w14:paraId="4604164B">
      <w:pPr>
        <w:ind w:left="0" w:leftChars="0" w:firstLine="420" w:firstLineChars="200"/>
      </w:pPr>
      <w:r>
        <w:rPr>
          <w:rFonts w:hint="eastAsia"/>
        </w:rPr>
        <w:t>2、投标人</w:t>
      </w:r>
      <w:r>
        <w:rPr>
          <w:rFonts w:hint="eastAsia"/>
        </w:rPr>
        <w:t>（</w:t>
      </w:r>
      <w:r>
        <w:rPr>
          <w:rFonts w:hint="eastAsia"/>
          <w:lang w:val="en-US" w:eastAsia="zh-CN"/>
        </w:rPr>
        <w:t>若为联合体投标，指</w:t>
      </w:r>
      <w:r>
        <w:rPr>
          <w:rFonts w:hint="eastAsia"/>
        </w:rPr>
        <w:t>联合体各成员）</w:t>
      </w:r>
      <w:r>
        <w:rPr>
          <w:rFonts w:hint="eastAsia"/>
        </w:rPr>
        <w:t>具有独立法人资格，按国家法律经营。</w:t>
      </w:r>
    </w:p>
    <w:p w14:paraId="41E9376D">
      <w:pPr>
        <w:ind w:left="0" w:leftChars="0" w:firstLine="420" w:firstLineChars="200"/>
      </w:pPr>
      <w:r>
        <w:rPr>
          <w:rFonts w:hint="eastAsia"/>
        </w:rPr>
        <w:t>3、</w:t>
      </w:r>
      <w:r>
        <w:rPr>
          <w:rFonts w:hint="eastAsia"/>
        </w:rPr>
        <w:t>投标人</w:t>
      </w:r>
      <w:r>
        <w:rPr>
          <w:rFonts w:hint="eastAsia"/>
        </w:rPr>
        <w:t>（</w:t>
      </w:r>
      <w:r>
        <w:rPr>
          <w:rFonts w:hint="eastAsia"/>
          <w:lang w:val="en-US" w:eastAsia="zh-CN"/>
        </w:rPr>
        <w:t>若为联合体投标，指</w:t>
      </w:r>
      <w:r>
        <w:rPr>
          <w:rFonts w:hint="eastAsia"/>
        </w:rPr>
        <w:t>联合体各成员）</w:t>
      </w:r>
      <w:r>
        <w:rPr>
          <w:rFonts w:hint="eastAsia"/>
        </w:rPr>
        <w:t>持有建设行政主管部门颁发的有效期内</w:t>
      </w:r>
      <w:r>
        <w:rPr>
          <w:rFonts w:hint="eastAsia"/>
        </w:rPr>
        <w:t>的</w:t>
      </w:r>
      <w:r>
        <w:rPr>
          <w:rFonts w:hint="eastAsia"/>
        </w:rPr>
        <w:t>安全生产许可证</w:t>
      </w:r>
      <w:r>
        <w:rPr>
          <w:rFonts w:hint="eastAsia"/>
        </w:rPr>
        <w:t>；</w:t>
      </w:r>
    </w:p>
    <w:p w14:paraId="2F994FD5">
      <w:pPr>
        <w:ind w:left="0" w:leftChars="0" w:firstLine="420" w:firstLineChars="200"/>
        <w:rPr>
          <w:rFonts w:hint="eastAsia"/>
          <w:lang w:val="en-US" w:eastAsia="zh-CN"/>
        </w:rPr>
      </w:pPr>
      <w:r>
        <w:rPr>
          <w:rFonts w:hint="eastAsia"/>
          <w:lang w:val="en-US" w:eastAsia="zh-CN"/>
        </w:rPr>
        <w:t>4、投标人应</w:t>
      </w:r>
      <w:r>
        <w:rPr>
          <w:rFonts w:hint="eastAsia"/>
          <w:lang w:val="en-US" w:eastAsia="zh-CN"/>
        </w:rPr>
        <w:t>同时</w:t>
      </w:r>
      <w:r>
        <w:rPr>
          <w:rFonts w:hint="eastAsia"/>
          <w:lang w:val="en-US" w:eastAsia="zh-CN"/>
        </w:rPr>
        <w:t>具备建设行政主管部门颁发的①和②资质：</w:t>
      </w:r>
    </w:p>
    <w:p w14:paraId="31787F95">
      <w:pPr>
        <w:ind w:left="0" w:leftChars="0" w:firstLine="420" w:firstLineChars="200"/>
        <w:rPr>
          <w:rFonts w:hint="eastAsia"/>
          <w:lang w:val="en-US" w:eastAsia="zh-CN"/>
        </w:rPr>
      </w:pPr>
      <w:r>
        <w:rPr>
          <w:rFonts w:hint="eastAsia"/>
          <w:lang w:val="en-US" w:eastAsia="zh-CN"/>
        </w:rPr>
        <w:t>①建筑装修装饰工程专业承包</w:t>
      </w:r>
      <w:r>
        <w:rPr>
          <w:rFonts w:hint="eastAsia"/>
          <w:lang w:val="en-US" w:eastAsia="zh-CN"/>
        </w:rPr>
        <w:t>二级</w:t>
      </w:r>
      <w:r>
        <w:rPr>
          <w:rFonts w:hint="eastAsia"/>
          <w:lang w:val="en-US" w:eastAsia="zh-CN"/>
        </w:rPr>
        <w:t>（或以上）</w:t>
      </w:r>
      <w:r>
        <w:rPr>
          <w:rFonts w:hint="eastAsia"/>
          <w:lang w:val="en-US" w:eastAsia="zh-CN"/>
        </w:rPr>
        <w:t>资质，或相应的建筑装饰装修工程设计与施工资质（以资质证书许可范围为准，须在有效期内）。</w:t>
      </w:r>
    </w:p>
    <w:p w14:paraId="35341FA9">
      <w:pPr>
        <w:ind w:left="0" w:leftChars="0" w:firstLine="420" w:firstLineChars="200"/>
        <w:rPr>
          <w:rFonts w:hint="eastAsia"/>
          <w:lang w:val="en-US" w:eastAsia="zh-CN"/>
        </w:rPr>
      </w:pPr>
      <w:r>
        <w:rPr>
          <w:rFonts w:hint="eastAsia"/>
          <w:lang w:val="en-US" w:eastAsia="zh-CN"/>
        </w:rPr>
        <w:t>②消防设施工程专业承包</w:t>
      </w:r>
      <w:r>
        <w:rPr>
          <w:rFonts w:hint="eastAsia"/>
          <w:lang w:val="en-US" w:eastAsia="zh-CN"/>
        </w:rPr>
        <w:t>二级</w:t>
      </w:r>
      <w:r>
        <w:rPr>
          <w:rFonts w:hint="eastAsia"/>
          <w:lang w:val="en-US" w:eastAsia="zh-CN"/>
        </w:rPr>
        <w:t>（或以上）</w:t>
      </w:r>
      <w:r>
        <w:rPr>
          <w:rFonts w:hint="eastAsia"/>
          <w:lang w:val="en-US" w:eastAsia="zh-CN"/>
        </w:rPr>
        <w:t>资质，或消防设施工程设计与施工资质（以资质证书许可范围为准，须在有效期内）。</w:t>
      </w:r>
    </w:p>
    <w:p w14:paraId="29E96A1D">
      <w:pPr>
        <w:ind w:left="0" w:leftChars="0" w:firstLine="420" w:firstLineChars="200"/>
        <w:rPr>
          <w:lang w:val="en-US" w:eastAsia="zh-CN"/>
        </w:rPr>
      </w:pPr>
      <w:r>
        <w:rPr>
          <w:rFonts w:hint="eastAsia"/>
          <w:lang w:val="en-US" w:eastAsia="zh-CN"/>
        </w:rPr>
        <w:t>5、</w:t>
      </w:r>
      <w:r>
        <w:rPr>
          <w:rFonts w:hint="eastAsia"/>
          <w:lang w:val="en-US" w:eastAsia="zh-CN"/>
        </w:rPr>
        <w:t>投标人</w:t>
      </w:r>
      <w:r>
        <w:rPr>
          <w:rFonts w:hint="eastAsia"/>
        </w:rPr>
        <w:t>（若为联合体投标，由承担装饰装修施工任务方提供)</w:t>
      </w:r>
      <w:r>
        <w:rPr>
          <w:rFonts w:hint="eastAsia"/>
          <w:lang w:val="en-US" w:eastAsia="zh-CN"/>
        </w:rPr>
        <w:t>拟担任本工程</w:t>
      </w:r>
      <w:r>
        <w:rPr>
          <w:rFonts w:hint="eastAsia"/>
          <w:lang w:val="en-US" w:eastAsia="zh-CN"/>
        </w:rPr>
        <w:t>项目负责人</w:t>
      </w:r>
      <w:r>
        <w:rPr>
          <w:rFonts w:hint="eastAsia"/>
          <w:lang w:val="en-US" w:eastAsia="zh-CN"/>
        </w:rPr>
        <w:t>的人员，须满足以下要求：</w:t>
      </w:r>
    </w:p>
    <w:p w14:paraId="570B9661">
      <w:pPr>
        <w:ind w:left="0" w:leftChars="0" w:firstLine="420" w:firstLineChars="200"/>
        <w:rPr>
          <w:lang w:val="en-US" w:eastAsia="zh-CN"/>
        </w:rPr>
      </w:pPr>
      <w:r>
        <w:rPr>
          <w:rFonts w:hint="eastAsia"/>
          <w:lang w:val="en-US" w:eastAsia="zh-CN"/>
        </w:rPr>
        <w:t>拟担任本工程项目负责人的人员为：建筑工程专业</w:t>
      </w:r>
      <w:r>
        <w:rPr>
          <w:rFonts w:hint="eastAsia"/>
          <w:lang w:val="en-US" w:eastAsia="zh-CN"/>
        </w:rPr>
        <w:t>二级</w:t>
      </w:r>
      <w:r>
        <w:rPr>
          <w:rFonts w:hint="eastAsia"/>
          <w:lang w:val="en-US" w:eastAsia="zh-CN"/>
        </w:rPr>
        <w:t>（或以上）注册建造师。持有安全生产考核合格证（B类）或建筑施工企业项目负责人安全生产考核合格证书。</w:t>
      </w:r>
    </w:p>
    <w:p w14:paraId="1BF30685">
      <w:pPr>
        <w:ind w:left="0" w:leftChars="0" w:firstLine="420" w:firstLineChars="200"/>
        <w:rPr>
          <w:lang w:val="en-US" w:eastAsia="zh-CN"/>
        </w:rPr>
      </w:pPr>
      <w:r>
        <w:rPr>
          <w:rFonts w:hint="eastAsia"/>
          <w:lang w:val="en-US" w:eastAsia="zh-CN"/>
        </w:rPr>
        <w:t>注：</w:t>
      </w:r>
      <w:r>
        <w:rPr>
          <w:rFonts w:hint="eastAsia"/>
          <w:lang w:val="en-US" w:eastAsia="zh-CN"/>
        </w:rPr>
        <w:t>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14:paraId="5520BA9F">
      <w:pPr>
        <w:ind w:left="0" w:leftChars="0" w:firstLine="420" w:firstLineChars="200"/>
        <w:rPr>
          <w:lang w:val="en-US" w:eastAsia="zh-CN"/>
        </w:rPr>
      </w:pPr>
      <w:r>
        <w:rPr>
          <w:rFonts w:hint="eastAsia"/>
          <w:lang w:val="en-US" w:eastAsia="zh-CN"/>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w:t>
      </w:r>
      <w:r>
        <w:rPr>
          <w:rFonts w:hint="eastAsia"/>
          <w:lang w:val="en-US" w:eastAsia="zh-CN"/>
        </w:rPr>
        <w:t>、《住建部做好企业资质证书换领和延续工作的通知》（建办市〔2023〕47号）</w:t>
      </w:r>
      <w:r>
        <w:rPr>
          <w:rFonts w:hint="eastAsia"/>
          <w:lang w:val="en-US" w:eastAsia="zh-CN"/>
        </w:rPr>
        <w:t>、《广东省住房和城乡建设厅关于建设工程企业资质延续有关事项的通知》（粤建许函〔2023〕820号）</w:t>
      </w:r>
      <w:r>
        <w:rPr>
          <w:rFonts w:hint="eastAsia"/>
          <w:lang w:val="en-US" w:eastAsia="zh-CN"/>
        </w:rPr>
        <w:t>、《广东省住房和城乡建设厅关于做好有关建设工程企业资质证书换领工作的通知》（粤建许函〔2024〕124号）</w:t>
      </w:r>
      <w:r>
        <w:rPr>
          <w:rFonts w:hint="eastAsia"/>
          <w:lang w:val="en-US" w:eastAsia="zh-CN"/>
        </w:rPr>
        <w:t>等相关规定。根据上述文件的要求，投标人需办理企业资质有效期延续的，应当按照相关规定及时办理。</w:t>
      </w:r>
    </w:p>
    <w:p w14:paraId="25FE9CA1">
      <w:pPr>
        <w:ind w:left="0" w:leftChars="0" w:firstLine="420" w:firstLineChars="200"/>
        <w:rPr>
          <w:lang w:val="en-US" w:eastAsia="zh-CN"/>
        </w:rPr>
      </w:pPr>
      <w:r>
        <w:rPr>
          <w:rFonts w:hint="eastAsia"/>
          <w:lang w:val="en-US" w:eastAsia="zh-CN"/>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52C17577">
      <w:pPr>
        <w:ind w:left="0" w:leftChars="0" w:firstLine="420" w:firstLineChars="200"/>
        <w:rPr>
          <w:lang w:val="en-US" w:eastAsia="zh-CN"/>
        </w:rPr>
      </w:pPr>
      <w:r>
        <w:rPr>
          <w:rFonts w:hint="eastAsia"/>
          <w:lang w:val="en-US" w:eastAsia="zh-CN"/>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1149CEC4">
      <w:pPr>
        <w:ind w:left="0" w:leftChars="0" w:firstLine="420" w:firstLineChars="200"/>
        <w:rPr>
          <w:lang w:val="en-US" w:eastAsia="zh-CN"/>
        </w:rPr>
      </w:pPr>
      <w:r>
        <w:rPr>
          <w:rFonts w:hint="eastAsia"/>
          <w:lang w:val="en-US" w:eastAsia="zh-CN"/>
        </w:rPr>
        <w:t>③根据广东省住建厅《关于明确二级建造师注册执业有关问题的通知》（粤建市函〔2023〕469号），二级建造师应在考试取得执业资格的省、自治区、直辖市申请注册，二级注册建造师可随注册企业在全国范围内执业。</w:t>
      </w:r>
      <w:r>
        <w:rPr>
          <w:rFonts w:hint="eastAsia"/>
          <w:lang w:val="en-US" w:eastAsia="zh-CN"/>
        </w:rPr>
        <w:t>项目负责人在任职期间不得担任专职安全员，项目专职安全员在任职期间也不得担任项目负责人，项目负责人和专职安全员、工程技术负责人不为同一人。</w:t>
      </w:r>
    </w:p>
    <w:p w14:paraId="29E62457">
      <w:pPr>
        <w:ind w:left="0" w:leftChars="0" w:firstLine="420" w:firstLineChars="200"/>
        <w:rPr>
          <w:lang w:val="en-US" w:eastAsia="zh-CN"/>
        </w:rPr>
      </w:pPr>
      <w:r>
        <w:rPr>
          <w:rFonts w:hint="eastAsia"/>
          <w:lang w:val="en-US" w:eastAsia="zh-CN"/>
        </w:rPr>
        <w:t>6</w:t>
      </w:r>
      <w:r>
        <w:rPr>
          <w:rFonts w:hint="eastAsia"/>
          <w:lang w:val="en-US" w:eastAsia="zh-CN"/>
        </w:rPr>
        <w:t>、</w:t>
      </w:r>
      <w:r>
        <w:rPr>
          <w:rFonts w:hint="eastAsia"/>
          <w:lang w:val="en-US" w:eastAsia="zh-CN"/>
        </w:rPr>
        <w:t>投标人</w:t>
      </w:r>
      <w:r>
        <w:rPr>
          <w:rFonts w:hint="eastAsia"/>
        </w:rPr>
        <w:t>（若为联合体投标，由承担装饰装修施工任务方提供)</w:t>
      </w:r>
      <w:r>
        <w:rPr>
          <w:rFonts w:hint="eastAsia"/>
          <w:lang w:val="en-US" w:eastAsia="zh-CN"/>
        </w:rPr>
        <w:t>拟担任本</w:t>
      </w:r>
      <w:r>
        <w:rPr>
          <w:rFonts w:hint="eastAsia"/>
          <w:lang w:val="en-US" w:eastAsia="zh-CN"/>
        </w:rPr>
        <w:t>工程</w:t>
      </w:r>
      <w:r>
        <w:rPr>
          <w:rFonts w:hint="eastAsia"/>
          <w:lang w:val="en-US" w:eastAsia="zh-CN"/>
        </w:rPr>
        <w:t>技术负责人</w:t>
      </w:r>
      <w:r>
        <w:rPr>
          <w:rFonts w:hint="eastAsia"/>
          <w:lang w:val="en-US" w:eastAsia="zh-CN"/>
        </w:rPr>
        <w:t>的资格要求为：建筑工程相关专业中级（或以上）技术职称。</w:t>
      </w:r>
    </w:p>
    <w:p w14:paraId="77D0A7CF">
      <w:pPr>
        <w:ind w:left="0" w:leftChars="0" w:firstLine="420" w:firstLineChars="200"/>
      </w:pPr>
      <w:r>
        <w:rPr>
          <w:rFonts w:hint="eastAsia"/>
          <w:lang w:val="en-US" w:eastAsia="zh-CN"/>
        </w:rPr>
        <w:t>7</w:t>
      </w:r>
      <w:r>
        <w:rPr>
          <w:rFonts w:hint="eastAsia"/>
        </w:rPr>
        <w:t>、</w:t>
      </w:r>
      <w:r>
        <w:rPr>
          <w:rFonts w:hint="eastAsia"/>
          <w:lang w:val="en-US" w:eastAsia="zh-CN"/>
        </w:rPr>
        <w:t>投标人</w:t>
      </w:r>
      <w:r>
        <w:rPr>
          <w:rFonts w:hint="eastAsia"/>
        </w:rPr>
        <w:t>（若为联合体投标，由承担装饰装修施工任务方提供)</w:t>
      </w:r>
      <w:r>
        <w:rPr>
          <w:rFonts w:hint="eastAsia"/>
          <w:lang w:val="en-US" w:eastAsia="zh-CN"/>
        </w:rPr>
        <w:t>拟担任</w:t>
      </w:r>
      <w:r>
        <w:rPr>
          <w:rFonts w:hint="eastAsia"/>
        </w:rPr>
        <w:t>专职安全员</w:t>
      </w:r>
      <w:r>
        <w:rPr>
          <w:rFonts w:hint="eastAsia"/>
        </w:rPr>
        <w:t>须具有</w:t>
      </w:r>
      <w:r>
        <w:rPr>
          <w:rFonts w:hint="eastAsia"/>
        </w:rPr>
        <w:t>在有效期内的</w:t>
      </w:r>
      <w:r>
        <w:rPr>
          <w:rFonts w:hint="eastAsia"/>
        </w:rPr>
        <w:t>安全生产考核合格证（C类）或建筑施工企业专职安全生产管理人员安全生产考核合格证书（C3）。</w:t>
      </w:r>
    </w:p>
    <w:p w14:paraId="48431546">
      <w:pPr>
        <w:ind w:left="0" w:leftChars="0" w:firstLine="420" w:firstLineChars="200"/>
      </w:pPr>
      <w:r>
        <w:rPr>
          <w:rFonts w:hint="eastAsia"/>
          <w:lang w:val="en-US" w:eastAsia="zh-CN"/>
        </w:rPr>
        <w:t>8</w:t>
      </w:r>
      <w:r>
        <w:rPr>
          <w:rFonts w:hint="eastAsia"/>
        </w:rPr>
        <w:t>、投标人已按照</w:t>
      </w:r>
      <w:r>
        <w:rPr>
          <w:rFonts w:hint="eastAsia"/>
          <w:lang w:val="en-US" w:eastAsia="zh-CN"/>
        </w:rPr>
        <w:t>招标文件提供</w:t>
      </w:r>
      <w:r>
        <w:rPr>
          <w:rFonts w:hint="eastAsia"/>
        </w:rPr>
        <w:t>的</w:t>
      </w:r>
      <w:r>
        <w:rPr>
          <w:rFonts w:hint="eastAsia"/>
          <w:lang w:val="en-US" w:eastAsia="zh-CN"/>
        </w:rPr>
        <w:t>格式</w:t>
      </w:r>
      <w:r>
        <w:rPr>
          <w:rFonts w:hint="eastAsia"/>
        </w:rPr>
        <w:t>内容签署盖章的投标人声明。</w:t>
      </w:r>
    </w:p>
    <w:p w14:paraId="56EBCE9E">
      <w:pPr>
        <w:ind w:left="0" w:leftChars="0" w:firstLine="420" w:firstLineChars="200"/>
        <w:rPr>
          <w:rFonts w:hint="eastAsia"/>
        </w:rPr>
      </w:pPr>
      <w:r>
        <w:rPr>
          <w:rFonts w:hint="eastAsia"/>
          <w:lang w:val="en-US" w:eastAsia="zh-CN"/>
        </w:rPr>
        <w:t>9</w:t>
      </w:r>
      <w:r>
        <w:rPr>
          <w:rFonts w:hint="eastAsia"/>
        </w:rPr>
        <w:t>、关于联合体投标：</w:t>
      </w:r>
      <w:r>
        <w:rPr>
          <w:rFonts w:hint="eastAsia"/>
        </w:rPr>
        <w:t>本项目接受联合体投标。</w:t>
      </w:r>
    </w:p>
    <w:p w14:paraId="0CCDEB6B">
      <w:pPr>
        <w:ind w:left="0" w:leftChars="0" w:firstLine="420" w:firstLineChars="200"/>
        <w:rPr>
          <w:rFonts w:hint="eastAsia"/>
          <w:lang w:eastAsia="zh-CN"/>
        </w:rPr>
      </w:pPr>
      <w:r>
        <w:rPr>
          <w:rFonts w:hint="eastAsia"/>
          <w:lang w:val="en-US" w:eastAsia="zh-CN"/>
        </w:rPr>
        <w:t xml:space="preserve">9.1 </w:t>
      </w:r>
      <w:r>
        <w:rPr>
          <w:rFonts w:hint="eastAsia"/>
        </w:rPr>
        <w:t>应满足下列要求：只接受最多由2家（即1家单位承接全部的建筑装饰装修工程施工、1家单位承接全部的消防设施工程施工）单位组成的联合体,应以承接</w:t>
      </w:r>
      <w:r>
        <w:rPr>
          <w:rFonts w:hint="eastAsia"/>
        </w:rPr>
        <w:t xml:space="preserve"> 装饰装修施工 </w:t>
      </w:r>
      <w:r>
        <w:rPr>
          <w:rFonts w:hint="eastAsia"/>
        </w:rPr>
        <w:t>任务的单位为主办方，并签定联合体工作协议（格式详见</w:t>
      </w:r>
      <w:r>
        <w:rPr>
          <w:rFonts w:hint="eastAsia"/>
          <w:lang w:val="en-US" w:eastAsia="zh-CN"/>
        </w:rPr>
        <w:t>第六章</w:t>
      </w:r>
      <w:r>
        <w:rPr>
          <w:rFonts w:hint="eastAsia"/>
        </w:rPr>
        <w:t>），联合体工作协议应明确确定联合体主办方以及约定各方拟承担的工作和责任。联合体各方不得再以自己名义单独或加入其他联合体参加本项目的投标，若出现此情况者，其投标和与此有关的联合体的投标将被拒绝</w:t>
      </w:r>
      <w:r>
        <w:rPr>
          <w:rFonts w:hint="eastAsia"/>
          <w:lang w:eastAsia="zh-CN"/>
        </w:rPr>
        <w:t>。</w:t>
      </w:r>
    </w:p>
    <w:p w14:paraId="4B99477D">
      <w:pPr>
        <w:ind w:left="0" w:leftChars="0" w:firstLine="420" w:firstLineChars="200"/>
        <w:rPr>
          <w:rFonts w:hint="eastAsia"/>
          <w:lang w:eastAsia="zh-CN"/>
        </w:rPr>
      </w:pPr>
      <w:r>
        <w:rPr>
          <w:rFonts w:hint="eastAsia"/>
          <w:lang w:val="en-US" w:eastAsia="zh-CN"/>
        </w:rPr>
        <w:t xml:space="preserve">9.2 </w:t>
      </w:r>
      <w:r>
        <w:rPr>
          <w:rFonts w:hint="eastAsia"/>
          <w:lang w:eastAsia="zh-CN"/>
        </w:rPr>
        <w:t>投标登记截止后联合体增减、更换成员的，其投标无效。</w:t>
      </w:r>
    </w:p>
    <w:p w14:paraId="39A56086">
      <w:pPr>
        <w:ind w:left="0" w:leftChars="0" w:firstLine="420" w:firstLineChars="200"/>
        <w:rPr>
          <w:rFonts w:hint="eastAsia"/>
          <w:lang w:eastAsia="zh-CN"/>
        </w:rPr>
      </w:pPr>
      <w:r>
        <w:rPr>
          <w:rFonts w:hint="eastAsia"/>
          <w:lang w:val="en-US" w:eastAsia="zh-CN"/>
        </w:rPr>
        <w:t>9.3</w:t>
      </w:r>
      <w:r>
        <w:rPr>
          <w:rFonts w:hint="eastAsia"/>
          <w:lang w:eastAsia="zh-CN"/>
        </w:rPr>
        <w:t>投标人拟任本招标项目负责人、专职安全员、</w:t>
      </w:r>
      <w:r>
        <w:rPr>
          <w:rFonts w:hint="eastAsia"/>
          <w:lang w:val="en-US" w:eastAsia="zh-CN"/>
        </w:rPr>
        <w:t>技术负责人</w:t>
      </w:r>
      <w:r>
        <w:rPr>
          <w:rFonts w:hint="eastAsia"/>
          <w:lang w:eastAsia="zh-CN"/>
        </w:rPr>
        <w:t>应为联合体主办方正式员工。</w:t>
      </w:r>
    </w:p>
    <w:p w14:paraId="4321CD8F">
      <w:pPr>
        <w:ind w:left="0" w:leftChars="0" w:firstLine="420" w:firstLineChars="200"/>
        <w:rPr>
          <w:rFonts w:hint="eastAsia"/>
          <w:lang w:eastAsia="zh-CN"/>
        </w:rPr>
      </w:pPr>
      <w:r>
        <w:rPr>
          <w:rFonts w:hint="eastAsia"/>
          <w:lang w:val="en-US" w:eastAsia="zh-CN"/>
        </w:rPr>
        <w:t>9.4</w:t>
      </w:r>
      <w:r>
        <w:rPr>
          <w:rFonts w:hint="eastAsia"/>
          <w:lang w:eastAsia="zh-CN"/>
        </w:rPr>
        <w:t>联合体投标的除联合体协议书须联合体各方均签字盖章外，其余文件均可由联合体主办方签字盖章。</w:t>
      </w:r>
    </w:p>
    <w:p w14:paraId="3F95F874">
      <w:pPr>
        <w:ind w:left="0" w:leftChars="0" w:firstLine="420" w:firstLineChars="200"/>
      </w:pPr>
      <w:r>
        <w:rPr>
          <w:rFonts w:hint="eastAsia"/>
          <w:lang w:val="en-US" w:eastAsia="zh-CN"/>
        </w:rPr>
        <w:t>10</w:t>
      </w:r>
      <w:r>
        <w:rPr>
          <w:rFonts w:hint="eastAsia"/>
        </w:rPr>
        <w:t>、投标人（若为联合体投标，指联合体各成员）未出现以下情形：与其它投标人的单位负责人为同一人或者存在控股、管理关系的（按投标人提供的《投标人声明》第九条内容进行评审）。如不同投标人出现单位负责人为同一人或者存在控股、管理关系的情形，则</w:t>
      </w:r>
      <w:r>
        <w:rPr>
          <w:rFonts w:hint="eastAsia"/>
        </w:rPr>
        <w:t>相关投标均无效</w:t>
      </w:r>
      <w:r>
        <w:rPr>
          <w:rFonts w:hint="eastAsia"/>
        </w:rPr>
        <w:t>。</w:t>
      </w:r>
    </w:p>
    <w:p w14:paraId="317BF90C">
      <w:pPr>
        <w:ind w:left="0" w:leftChars="0" w:firstLine="420" w:firstLineChars="200"/>
        <w:rPr>
          <w:rFonts w:hint="eastAsia"/>
        </w:rPr>
      </w:pPr>
      <w:r>
        <w:rPr>
          <w:rFonts w:hint="eastAsia"/>
          <w:lang w:val="en-US" w:eastAsia="zh-CN"/>
        </w:rPr>
        <w:t>11</w:t>
      </w:r>
      <w:r>
        <w:rPr>
          <w:rFonts w:hint="eastAsia"/>
        </w:rPr>
        <w:t>、投标人（若为联合体投标，指联合体各成员）未被列入拖欠农民工工资失信联合惩戒对象名单（按投标人提供的《投标人声明》</w:t>
      </w:r>
      <w:r>
        <w:rPr>
          <w:rFonts w:hint="eastAsia"/>
          <w:lang w:val="en-US" w:eastAsia="zh-CN"/>
        </w:rPr>
        <w:t>第十一条内容</w:t>
      </w:r>
      <w:r>
        <w:rPr>
          <w:rFonts w:hint="eastAsia"/>
        </w:rPr>
        <w:t>进行评审</w:t>
      </w:r>
      <w:r>
        <w:rPr>
          <w:rFonts w:hint="eastAsia"/>
          <w:lang w:eastAsia="zh-CN"/>
        </w:rPr>
        <w:t>）</w:t>
      </w:r>
      <w:r>
        <w:rPr>
          <w:rFonts w:hint="eastAsia"/>
        </w:rPr>
        <w:t>。</w:t>
      </w:r>
    </w:p>
    <w:p w14:paraId="56D3FDAC">
      <w:pPr>
        <w:ind w:left="0" w:leftChars="0" w:firstLine="420" w:firstLineChars="200"/>
        <w:rPr>
          <w:rFonts w:hint="eastAsia"/>
          <w:lang w:val="en-US" w:eastAsia="zh-CN"/>
        </w:rPr>
      </w:pPr>
      <w:r>
        <w:rPr>
          <w:rFonts w:hint="eastAsia"/>
          <w:lang w:val="en-US" w:eastAsia="zh-CN"/>
        </w:rPr>
        <w:t xml:space="preserve">12、投标人（若为联合体投标，指联合体各成员）本项目属于专门面向中小企业采购的项目。全部由符合政策要求的中小企业承接（依据《中小企业声明函》或提供由监狱管理局、戒毒管理局（含新疆生产建设兵团）出具的属于监狱企业的证明文件或《残疾人福利性单位声明函》）。 </w:t>
      </w:r>
    </w:p>
    <w:p w14:paraId="70E685DB">
      <w:pPr>
        <w:ind w:left="0" w:leftChars="0" w:firstLine="420" w:firstLineChars="200"/>
        <w:rPr>
          <w:lang w:val="en-US" w:eastAsia="zh-CN"/>
        </w:rPr>
      </w:pPr>
      <w:r>
        <w:rPr>
          <w:rFonts w:hint="eastAsia"/>
          <w:lang w:val="en-US" w:eastAsia="zh-CN"/>
        </w:rPr>
        <w:t>注：未在招标公告第六条单列的资审合格条件，不作为资审不合格的依据。</w:t>
      </w:r>
    </w:p>
    <w:p w14:paraId="532A498F">
      <w:pPr>
        <w:ind w:left="0" w:leftChars="0" w:firstLine="422" w:firstLineChars="200"/>
        <w:rPr>
          <w:rFonts w:hint="eastAsia"/>
          <w:b/>
          <w:bCs/>
        </w:rPr>
      </w:pPr>
      <w:r>
        <w:rPr>
          <w:rFonts w:hint="eastAsia"/>
          <w:b/>
          <w:bCs/>
          <w:lang w:val="en-US" w:eastAsia="zh-CN"/>
        </w:rPr>
        <w:t>七、公告开始时间</w:t>
      </w:r>
    </w:p>
    <w:p w14:paraId="7A40C894">
      <w:pPr>
        <w:ind w:left="0" w:leftChars="0" w:firstLine="420" w:firstLineChars="200"/>
        <w:rPr>
          <w:rFonts w:hint="default"/>
          <w:lang w:val="en-US" w:eastAsia="zh-CN"/>
        </w:rPr>
      </w:pPr>
      <w:r>
        <w:rPr>
          <w:rFonts w:hint="eastAsia"/>
          <w:lang w:val="en-US" w:eastAsia="zh-CN"/>
        </w:rPr>
        <w:t>2025年12月 2 日</w:t>
      </w:r>
    </w:p>
    <w:p w14:paraId="015CA085">
      <w:pPr>
        <w:ind w:left="0" w:leftChars="0" w:firstLine="420" w:firstLineChars="200"/>
        <w:rPr>
          <w:rFonts w:hint="eastAsia"/>
        </w:rPr>
      </w:pPr>
      <w:r>
        <w:rPr>
          <w:rFonts w:hint="eastAsia"/>
          <w:lang w:val="en-US" w:eastAsia="zh-CN"/>
        </w:rPr>
        <w:t>八、</w:t>
      </w:r>
      <w:r>
        <w:rPr>
          <w:rFonts w:hint="eastAsia"/>
          <w:lang w:val="en-US" w:eastAsia="zh-CN"/>
        </w:rPr>
        <w:t>公告结束时间</w:t>
      </w:r>
    </w:p>
    <w:p w14:paraId="41D358B7">
      <w:pPr>
        <w:ind w:left="0" w:leftChars="0" w:firstLine="420" w:firstLineChars="200"/>
        <w:rPr>
          <w:rFonts w:hint="eastAsia"/>
        </w:rPr>
      </w:pPr>
      <w:r>
        <w:rPr>
          <w:rFonts w:hint="eastAsia"/>
          <w:lang w:val="en-US" w:eastAsia="zh-CN"/>
        </w:rPr>
        <w:t>2025年12月23日</w:t>
      </w:r>
    </w:p>
    <w:p w14:paraId="48A669A1">
      <w:pPr>
        <w:ind w:left="0" w:leftChars="0" w:firstLine="420" w:firstLineChars="200"/>
        <w:rPr>
          <w:rFonts w:hint="eastAsia"/>
        </w:rPr>
      </w:pPr>
      <w:r>
        <w:rPr>
          <w:rFonts w:hint="eastAsia"/>
          <w:lang w:val="en-US" w:eastAsia="zh-CN"/>
        </w:rPr>
        <w:t>九、</w:t>
      </w:r>
      <w:r>
        <w:rPr>
          <w:rFonts w:hint="eastAsia"/>
        </w:rPr>
        <w:t>招标文件的获取及投标登记</w:t>
      </w:r>
      <w:r>
        <w:rPr>
          <w:rFonts w:hint="eastAsia"/>
          <w:lang w:val="en-US" w:eastAsia="zh-CN"/>
        </w:rPr>
        <w:t>事项</w:t>
      </w:r>
    </w:p>
    <w:p w14:paraId="7B61DC9E">
      <w:pPr>
        <w:ind w:left="0" w:leftChars="0" w:firstLine="420" w:firstLineChars="200"/>
        <w:rPr>
          <w:rFonts w:hint="eastAsia"/>
        </w:rPr>
      </w:pPr>
      <w:r>
        <w:rPr>
          <w:rFonts w:hint="eastAsia"/>
        </w:rPr>
        <w:t>招标文件的获取及投标登记时间：</w:t>
      </w:r>
      <w:r>
        <w:rPr>
          <w:rFonts w:hint="eastAsia"/>
        </w:rPr>
        <w:t>2025年</w:t>
      </w:r>
      <w:r>
        <w:rPr>
          <w:rFonts w:hint="eastAsia"/>
          <w:lang w:val="en-US" w:eastAsia="zh-CN"/>
        </w:rPr>
        <w:t xml:space="preserve">12 </w:t>
      </w:r>
      <w:r>
        <w:rPr>
          <w:rFonts w:hint="eastAsia"/>
        </w:rPr>
        <w:t>月</w:t>
      </w:r>
      <w:r>
        <w:rPr>
          <w:rFonts w:hint="eastAsia"/>
          <w:lang w:val="en-US" w:eastAsia="zh-CN"/>
        </w:rPr>
        <w:t xml:space="preserve"> 2 </w:t>
      </w:r>
      <w:r>
        <w:rPr>
          <w:rFonts w:hint="eastAsia"/>
        </w:rPr>
        <w:t>日至2025年</w:t>
      </w:r>
      <w:r>
        <w:rPr>
          <w:rFonts w:hint="eastAsia"/>
          <w:lang w:val="en-US" w:eastAsia="zh-CN"/>
        </w:rPr>
        <w:t>12</w:t>
      </w:r>
      <w:r>
        <w:rPr>
          <w:rFonts w:hint="eastAsia"/>
        </w:rPr>
        <w:t>月</w:t>
      </w:r>
      <w:r>
        <w:rPr>
          <w:rFonts w:hint="eastAsia"/>
          <w:lang w:val="en-US" w:eastAsia="zh-CN"/>
        </w:rPr>
        <w:t>9</w:t>
      </w:r>
      <w:r>
        <w:rPr>
          <w:rFonts w:hint="eastAsia"/>
        </w:rPr>
        <w:t>日</w:t>
      </w:r>
      <w:r>
        <w:rPr>
          <w:rFonts w:hint="eastAsia"/>
        </w:rPr>
        <w:t xml:space="preserve">，上午9:00至12:00，下午14:30至17:30（北京时间，法定节假日除外）。 </w:t>
      </w:r>
    </w:p>
    <w:p w14:paraId="75C4825E">
      <w:pPr>
        <w:ind w:left="0" w:leftChars="0" w:firstLine="420" w:firstLineChars="200"/>
        <w:rPr>
          <w:rFonts w:hint="eastAsia"/>
        </w:rPr>
      </w:pPr>
      <w:r>
        <w:rPr>
          <w:rFonts w:hint="eastAsia"/>
        </w:rPr>
        <w:t>招标文件的获取及投标登记方式：符合</w:t>
      </w:r>
      <w:r>
        <w:rPr>
          <w:rFonts w:hint="eastAsia"/>
          <w:lang w:eastAsia="zh-CN"/>
        </w:rPr>
        <w:t>投标人</w:t>
      </w:r>
      <w:r>
        <w:rPr>
          <w:rFonts w:hint="eastAsia"/>
        </w:rPr>
        <w:t>资格要求的</w:t>
      </w:r>
      <w:r>
        <w:rPr>
          <w:rFonts w:hint="eastAsia"/>
          <w:lang w:eastAsia="zh-CN"/>
        </w:rPr>
        <w:t>投标人</w:t>
      </w:r>
      <w:r>
        <w:rPr>
          <w:rFonts w:hint="eastAsia"/>
        </w:rPr>
        <w:t>应当在“招标文件的获取及投标登记”规定时间内，将获取招标文件的资料加盖公章后扫描发至83225943@qq.com邮箱，资料发送后</w:t>
      </w:r>
      <w:r>
        <w:rPr>
          <w:rFonts w:hint="eastAsia"/>
          <w:lang w:eastAsia="zh-CN"/>
        </w:rPr>
        <w:t>投标人</w:t>
      </w:r>
      <w:r>
        <w:rPr>
          <w:rFonts w:hint="eastAsia"/>
        </w:rPr>
        <w:t>应电话通知招标代理（电话020-83851835），经招标代理工作人员确认后办理相关手续，</w:t>
      </w:r>
      <w:r>
        <w:rPr>
          <w:rFonts w:hint="eastAsia"/>
          <w:lang w:eastAsia="zh-CN"/>
        </w:rPr>
        <w:t>投标人</w:t>
      </w:r>
      <w:r>
        <w:rPr>
          <w:rFonts w:hint="eastAsia"/>
        </w:rPr>
        <w:t>必须于“获取招标文件”规定时间内</w:t>
      </w:r>
      <w:r>
        <w:rPr>
          <w:rFonts w:hint="eastAsia"/>
          <w:lang w:val="en-US" w:eastAsia="zh-CN"/>
        </w:rPr>
        <w:t>从</w:t>
      </w:r>
      <w:r>
        <w:rPr>
          <w:rFonts w:hint="eastAsia"/>
          <w:lang w:eastAsia="zh-CN"/>
        </w:rPr>
        <w:t>投标人</w:t>
      </w:r>
      <w:r>
        <w:rPr>
          <w:rFonts w:hint="eastAsia"/>
          <w:lang w:val="en-US" w:eastAsia="zh-CN"/>
        </w:rPr>
        <w:t>银行基本户</w:t>
      </w:r>
      <w:r>
        <w:rPr>
          <w:rFonts w:hint="eastAsia"/>
        </w:rPr>
        <w:t>向我司缴纳招标文件工本费，否则视为未完成获取招标文件手续。招标文件售后不退，获取成功后，纸质招标文件如需邮寄的，由</w:t>
      </w:r>
      <w:r>
        <w:rPr>
          <w:rFonts w:hint="eastAsia"/>
          <w:lang w:eastAsia="zh-CN"/>
        </w:rPr>
        <w:t>招标代理机构</w:t>
      </w:r>
      <w:r>
        <w:rPr>
          <w:rFonts w:hint="eastAsia"/>
        </w:rPr>
        <w:t>邮寄给</w:t>
      </w:r>
      <w:r>
        <w:rPr>
          <w:rFonts w:hint="eastAsia"/>
          <w:lang w:eastAsia="zh-CN"/>
        </w:rPr>
        <w:t>投标人</w:t>
      </w:r>
      <w:r>
        <w:rPr>
          <w:rFonts w:hint="eastAsia"/>
        </w:rPr>
        <w:t>，运费自理，在任何情况下</w:t>
      </w:r>
      <w:r>
        <w:rPr>
          <w:rFonts w:hint="eastAsia"/>
          <w:lang w:eastAsia="zh-CN"/>
        </w:rPr>
        <w:t>招标代理机构</w:t>
      </w:r>
      <w:r>
        <w:rPr>
          <w:rFonts w:hint="eastAsia"/>
        </w:rPr>
        <w:t>对邮寄过程中发生的迟交或遗失均不承担责任。</w:t>
      </w:r>
    </w:p>
    <w:p w14:paraId="7FEB43D5">
      <w:pPr>
        <w:ind w:left="0" w:leftChars="0" w:firstLine="420" w:firstLineChars="200"/>
        <w:rPr>
          <w:rFonts w:hint="eastAsia"/>
        </w:rPr>
      </w:pPr>
      <w:r>
        <w:rPr>
          <w:rFonts w:hint="eastAsia"/>
        </w:rPr>
        <w:t>工本费：300元人民币，售后不退。</w:t>
      </w:r>
    </w:p>
    <w:p w14:paraId="4CC5FD0A">
      <w:pPr>
        <w:ind w:left="0" w:leftChars="0" w:firstLine="420" w:firstLineChars="200"/>
        <w:rPr>
          <w:rFonts w:hint="eastAsia"/>
        </w:rPr>
      </w:pPr>
      <w:r>
        <w:rPr>
          <w:rFonts w:hint="eastAsia"/>
        </w:rPr>
        <w:t>收款单位：广州市云兴建设工程监理有限公司</w:t>
      </w:r>
    </w:p>
    <w:p w14:paraId="47D41AA1">
      <w:pPr>
        <w:ind w:left="0" w:leftChars="0" w:firstLine="420" w:firstLineChars="200"/>
        <w:rPr>
          <w:rFonts w:hint="eastAsia"/>
        </w:rPr>
      </w:pPr>
      <w:r>
        <w:rPr>
          <w:rFonts w:hint="eastAsia"/>
        </w:rPr>
        <w:t>开户行：中国工商银行股份有限公司广州建设六马路支行</w:t>
      </w:r>
    </w:p>
    <w:p w14:paraId="112BF2E7">
      <w:pPr>
        <w:ind w:left="0" w:leftChars="0" w:firstLine="420" w:firstLineChars="200"/>
        <w:rPr>
          <w:rFonts w:hint="eastAsia"/>
        </w:rPr>
      </w:pPr>
      <w:r>
        <w:rPr>
          <w:rFonts w:hint="eastAsia"/>
        </w:rPr>
        <w:t>银行账号：3602011009001136937</w:t>
      </w:r>
    </w:p>
    <w:p w14:paraId="04753A6B">
      <w:pPr>
        <w:ind w:left="0" w:leftChars="0" w:firstLine="420" w:firstLineChars="200"/>
        <w:rPr>
          <w:rFonts w:hint="eastAsia"/>
        </w:rPr>
      </w:pPr>
      <w:r>
        <w:rPr>
          <w:rFonts w:hint="eastAsia"/>
        </w:rPr>
        <w:t>注：</w:t>
      </w:r>
      <w:r>
        <w:rPr>
          <w:rFonts w:hint="eastAsia"/>
          <w:lang w:eastAsia="zh-CN"/>
        </w:rPr>
        <w:t>投标人</w:t>
      </w:r>
      <w:r>
        <w:rPr>
          <w:rFonts w:hint="eastAsia"/>
        </w:rPr>
        <w:t>凭以下相关证明材料（均须加盖</w:t>
      </w:r>
      <w:r>
        <w:rPr>
          <w:rFonts w:hint="eastAsia"/>
          <w:lang w:eastAsia="zh-CN"/>
        </w:rPr>
        <w:t>投标人</w:t>
      </w:r>
      <w:r>
        <w:rPr>
          <w:rFonts w:hint="eastAsia"/>
        </w:rPr>
        <w:t>公章的扫描件）获取招标文件：</w:t>
      </w:r>
    </w:p>
    <w:p w14:paraId="6714E6C2">
      <w:pPr>
        <w:ind w:left="0" w:leftChars="0" w:firstLine="420" w:firstLineChars="200"/>
        <w:rPr>
          <w:rFonts w:hint="eastAsia"/>
        </w:rPr>
      </w:pPr>
      <w:r>
        <w:rPr>
          <w:rFonts w:hint="eastAsia"/>
        </w:rPr>
        <w:t>（1）提供营业执照扫描件。</w:t>
      </w:r>
    </w:p>
    <w:p w14:paraId="203B8CCB">
      <w:pPr>
        <w:ind w:left="0" w:leftChars="0" w:firstLine="420" w:firstLineChars="200"/>
        <w:rPr>
          <w:rFonts w:hint="eastAsia"/>
        </w:rPr>
      </w:pPr>
      <w:r>
        <w:rPr>
          <w:rFonts w:hint="eastAsia"/>
        </w:rPr>
        <w:t>（2）法定代表人证明书及法定代表人授权委托书（非法定代表人办理时提供）扫描件。</w:t>
      </w:r>
    </w:p>
    <w:p w14:paraId="440F98C6">
      <w:pPr>
        <w:ind w:left="0" w:leftChars="0" w:firstLine="420" w:firstLineChars="200"/>
        <w:rPr>
          <w:rFonts w:hint="eastAsia"/>
        </w:rPr>
      </w:pPr>
      <w:r>
        <w:rPr>
          <w:rFonts w:hint="eastAsia"/>
        </w:rPr>
        <w:t>（3）</w:t>
      </w:r>
      <w:r>
        <w:rPr>
          <w:rFonts w:hint="eastAsia"/>
          <w:lang w:eastAsia="zh-CN"/>
        </w:rPr>
        <w:t>投标人</w:t>
      </w:r>
      <w:r>
        <w:rPr>
          <w:rFonts w:hint="eastAsia"/>
        </w:rPr>
        <w:t>授权代表身份证扫描件。</w:t>
      </w:r>
    </w:p>
    <w:p w14:paraId="3023370F">
      <w:pPr>
        <w:ind w:left="0" w:leftChars="0" w:firstLine="420" w:firstLineChars="200"/>
        <w:rPr>
          <w:rFonts w:hint="eastAsia"/>
        </w:rPr>
      </w:pPr>
      <w:r>
        <w:rPr>
          <w:rFonts w:hint="eastAsia"/>
        </w:rPr>
        <w:t>（4）《招标文件登记表》扫描件（格式详见附件）。</w:t>
      </w:r>
    </w:p>
    <w:p w14:paraId="3F55AB67">
      <w:pPr>
        <w:ind w:left="0" w:leftChars="0" w:firstLine="420" w:firstLineChars="200"/>
        <w:rPr>
          <w:rFonts w:hint="eastAsia"/>
        </w:rPr>
      </w:pPr>
      <w:r>
        <w:rPr>
          <w:rFonts w:hint="eastAsia"/>
        </w:rPr>
        <w:t>（5）招标文件工本费支付凭证扫描件。</w:t>
      </w:r>
    </w:p>
    <w:p w14:paraId="7C67B76F">
      <w:pPr>
        <w:ind w:left="0" w:leftChars="0" w:firstLine="420" w:firstLineChars="200"/>
        <w:rPr>
          <w:rFonts w:hint="eastAsia"/>
        </w:rPr>
      </w:pPr>
      <w:r>
        <w:rPr>
          <w:rFonts w:hint="eastAsia"/>
          <w:lang w:eastAsia="zh-CN"/>
        </w:rPr>
        <w:t>投标人</w:t>
      </w:r>
      <w:r>
        <w:rPr>
          <w:rFonts w:hint="eastAsia"/>
        </w:rPr>
        <w:t>自购买招标文件之日起，应确保其向</w:t>
      </w:r>
      <w:r>
        <w:rPr>
          <w:rFonts w:hint="eastAsia"/>
          <w:lang w:eastAsia="zh-CN"/>
        </w:rPr>
        <w:t>招标人</w:t>
      </w:r>
      <w:r>
        <w:rPr>
          <w:rFonts w:hint="eastAsia"/>
        </w:rPr>
        <w:t>提供的通讯手段(电话、传真、邮箱)一直有效，以保证往来函件能及时传达并及时反馈信息，否则由此引起的一切后果由</w:t>
      </w:r>
      <w:r>
        <w:rPr>
          <w:rFonts w:hint="eastAsia"/>
          <w:lang w:eastAsia="zh-CN"/>
        </w:rPr>
        <w:t>投标人</w:t>
      </w:r>
      <w:r>
        <w:rPr>
          <w:rFonts w:hint="eastAsia"/>
        </w:rPr>
        <w:t>承担。</w:t>
      </w:r>
    </w:p>
    <w:p w14:paraId="1C643426">
      <w:pPr>
        <w:ind w:left="0" w:leftChars="0" w:firstLine="422" w:firstLineChars="200"/>
        <w:rPr>
          <w:rFonts w:hint="eastAsia"/>
          <w:b/>
          <w:bCs/>
        </w:rPr>
      </w:pPr>
      <w:r>
        <w:rPr>
          <w:rFonts w:hint="eastAsia"/>
          <w:b/>
          <w:bCs/>
          <w:lang w:val="en-US" w:eastAsia="zh-CN"/>
        </w:rPr>
        <w:t>十、投标文件递交时间及开标时间、开标地点</w:t>
      </w:r>
    </w:p>
    <w:p w14:paraId="6BDA9F35">
      <w:pPr>
        <w:ind w:left="0" w:leftChars="0" w:firstLine="420" w:firstLineChars="200"/>
        <w:rPr>
          <w:rFonts w:hint="eastAsia"/>
          <w:lang w:val="en-US" w:eastAsia="zh-CN"/>
        </w:rPr>
      </w:pPr>
      <w:r>
        <w:rPr>
          <w:rFonts w:hint="eastAsia"/>
          <w:lang w:val="en-US" w:eastAsia="zh-CN"/>
        </w:rPr>
        <w:t>1.投标文件递交时间：</w:t>
      </w:r>
      <w:r>
        <w:rPr>
          <w:rFonts w:hint="eastAsia"/>
          <w:lang w:val="en-US" w:eastAsia="zh-CN"/>
        </w:rPr>
        <w:t>2025年12月23日14 时30分至2025年12月23日15时   00分</w:t>
      </w:r>
    </w:p>
    <w:p w14:paraId="7DD94A3F">
      <w:pPr>
        <w:ind w:left="0" w:leftChars="0" w:firstLine="420" w:firstLineChars="200"/>
        <w:rPr>
          <w:rFonts w:hint="eastAsia"/>
          <w:lang w:val="en-US" w:eastAsia="zh-CN"/>
        </w:rPr>
      </w:pPr>
      <w:r>
        <w:rPr>
          <w:rFonts w:hint="eastAsia"/>
          <w:lang w:val="en-US" w:eastAsia="zh-CN"/>
        </w:rPr>
        <w:t>2.递交方式： 现场递交投标文件，不接受邮寄等其他方式。</w:t>
      </w:r>
    </w:p>
    <w:p w14:paraId="4212A829">
      <w:pPr>
        <w:ind w:left="0" w:leftChars="0" w:firstLine="420" w:firstLineChars="200"/>
        <w:rPr>
          <w:rFonts w:hint="eastAsia"/>
          <w:lang w:val="en-US" w:eastAsia="zh-CN"/>
        </w:rPr>
      </w:pPr>
      <w:r>
        <w:rPr>
          <w:rFonts w:hint="eastAsia"/>
          <w:lang w:val="en-US" w:eastAsia="zh-CN"/>
        </w:rPr>
        <w:t>逾期送达的、未送达指定地点的或者不按照招标文件要求密封的投标文件，招标人将予以拒收。</w:t>
      </w:r>
    </w:p>
    <w:p w14:paraId="13B58B2C">
      <w:pPr>
        <w:ind w:left="0" w:leftChars="0" w:firstLine="420" w:firstLineChars="200"/>
        <w:rPr>
          <w:rFonts w:hint="eastAsia"/>
          <w:lang w:val="en-US" w:eastAsia="zh-CN"/>
        </w:rPr>
      </w:pPr>
      <w:r>
        <w:rPr>
          <w:rFonts w:hint="eastAsia"/>
          <w:lang w:val="en-US" w:eastAsia="zh-CN"/>
        </w:rPr>
        <w:t>3.开标时间：</w:t>
      </w:r>
      <w:r>
        <w:rPr>
          <w:rFonts w:hint="eastAsia"/>
          <w:lang w:val="en-US" w:eastAsia="zh-CN"/>
        </w:rPr>
        <w:t>为投标文件截止时间</w:t>
      </w:r>
    </w:p>
    <w:p w14:paraId="4FED562C">
      <w:pPr>
        <w:ind w:left="0" w:leftChars="0" w:firstLine="420" w:firstLineChars="200"/>
        <w:rPr>
          <w:rFonts w:hint="eastAsia"/>
          <w:lang w:val="en-US" w:eastAsia="zh-CN"/>
        </w:rPr>
      </w:pPr>
      <w:r>
        <w:rPr>
          <w:rFonts w:hint="eastAsia"/>
          <w:lang w:val="en-US" w:eastAsia="zh-CN"/>
        </w:rPr>
        <w:t>4.投标文件递交及开标地点：广州市白云区下塘西路686号三楼302开标室</w:t>
      </w:r>
    </w:p>
    <w:p w14:paraId="4C5BA0B7">
      <w:pPr>
        <w:ind w:left="0" w:leftChars="0" w:firstLine="420" w:firstLineChars="200"/>
        <w:rPr>
          <w:rFonts w:hint="eastAsia"/>
          <w:lang w:val="en-US" w:eastAsia="zh-CN"/>
        </w:rPr>
      </w:pPr>
      <w:r>
        <w:rPr>
          <w:rFonts w:hint="eastAsia"/>
          <w:lang w:val="en-US" w:eastAsia="zh-CN"/>
        </w:rPr>
        <w:t>5.上述时间和地点是否有改变，请密切留意变更公告的相关信息。</w:t>
      </w:r>
    </w:p>
    <w:p w14:paraId="667C1A44">
      <w:pPr>
        <w:ind w:left="0" w:leftChars="0" w:firstLine="420" w:firstLineChars="200"/>
        <w:rPr>
          <w:rFonts w:hint="default"/>
          <w:lang w:val="en-US"/>
        </w:rPr>
      </w:pPr>
      <w:r>
        <w:rPr>
          <w:rFonts w:hint="eastAsia"/>
          <w:lang w:val="en-US" w:eastAsia="zh-CN"/>
        </w:rPr>
        <w:t>6.公告发布之日起至投标文件递交截止时间不少于20个日历天。</w:t>
      </w:r>
    </w:p>
    <w:p w14:paraId="32534FBF">
      <w:pPr>
        <w:ind w:left="0" w:leftChars="0" w:firstLine="422" w:firstLineChars="200"/>
        <w:rPr>
          <w:rFonts w:hint="eastAsia"/>
          <w:b/>
          <w:bCs/>
        </w:rPr>
      </w:pPr>
      <w:r>
        <w:rPr>
          <w:rFonts w:hint="eastAsia"/>
          <w:b/>
          <w:bCs/>
          <w:lang w:val="en-US" w:eastAsia="zh-CN"/>
        </w:rPr>
        <w:t>十一、其他</w:t>
      </w:r>
    </w:p>
    <w:p w14:paraId="0E9073EA">
      <w:pPr>
        <w:ind w:left="0" w:leftChars="0" w:firstLine="422" w:firstLineChars="200"/>
        <w:rPr>
          <w:rFonts w:hint="eastAsia"/>
          <w:b/>
          <w:bCs/>
        </w:rPr>
      </w:pPr>
      <w:r>
        <w:rPr>
          <w:rFonts w:hint="eastAsia"/>
          <w:b/>
          <w:bCs/>
          <w:lang w:val="en-US" w:eastAsia="zh-CN"/>
        </w:rPr>
        <w:t>（一）</w:t>
      </w:r>
      <w:r>
        <w:rPr>
          <w:rFonts w:hint="eastAsia"/>
          <w:b/>
          <w:bCs/>
          <w:lang w:eastAsia="zh-CN"/>
        </w:rPr>
        <w:t>招标</w:t>
      </w:r>
      <w:r>
        <w:rPr>
          <w:rFonts w:hint="eastAsia"/>
          <w:b/>
          <w:bCs/>
        </w:rPr>
        <w:t>信息发布及结果公告网站</w:t>
      </w:r>
    </w:p>
    <w:p w14:paraId="6307B09C">
      <w:pPr>
        <w:ind w:left="0" w:leftChars="0" w:firstLine="420" w:firstLineChars="200"/>
        <w:rPr>
          <w:rFonts w:hint="eastAsia"/>
          <w:lang w:val="en-US" w:eastAsia="zh-CN"/>
        </w:rPr>
      </w:pPr>
      <w:r>
        <w:rPr>
          <w:rFonts w:hint="eastAsia"/>
        </w:rPr>
        <w:t>本次招标公告同时在广州市云兴建设工程监理有限公司网站(网址：</w:t>
      </w:r>
      <w:r>
        <w:fldChar w:fldCharType="begin"/>
      </w:r>
      <w:r>
        <w:instrText xml:space="preserve"> HYPERLINK "http://www.gzjyem.com.cn/wzsy" </w:instrText>
      </w:r>
      <w:r>
        <w:fldChar w:fldCharType="separate"/>
      </w:r>
      <w:r>
        <w:t>http://www.gzyxjl.com/</w:t>
      </w:r>
      <w:r>
        <w:fldChar w:fldCharType="end"/>
      </w:r>
      <w:r>
        <w:rPr>
          <w:rFonts w:hint="eastAsia"/>
        </w:rPr>
        <w:t>)、</w:t>
      </w:r>
      <w:r>
        <w:rPr>
          <w:rFonts w:hint="eastAsia"/>
          <w:lang w:eastAsia="zh-CN"/>
        </w:rPr>
        <w:t>中国采购与招标网https://www.chinabidding.com.cn/</w:t>
      </w:r>
      <w:r>
        <w:rPr>
          <w:rFonts w:hint="eastAsia"/>
        </w:rPr>
        <w:t>、中国招标投标公共服务平台（网址：</w:t>
      </w:r>
      <w:r>
        <w:t>http://www.cebpubservice.com/</w:t>
      </w:r>
      <w:r>
        <w:rPr>
          <w:rFonts w:hint="eastAsia"/>
        </w:rPr>
        <w:t>）。本公告的修改、补充，在以上网站同步发布。本公告在各媒体发布的文本如有不同之处，以在</w:t>
      </w:r>
      <w:r>
        <w:rPr>
          <w:rFonts w:hint="eastAsia"/>
          <w:lang w:eastAsia="zh-CN"/>
        </w:rPr>
        <w:t>广州市云兴建设工程监理有限公司</w:t>
      </w:r>
      <w:r>
        <w:rPr>
          <w:rFonts w:hint="eastAsia"/>
        </w:rPr>
        <w:t>发布为准。</w:t>
      </w:r>
    </w:p>
    <w:p w14:paraId="1FD4146E">
      <w:pPr>
        <w:ind w:left="0" w:leftChars="0" w:firstLine="422" w:firstLineChars="200"/>
        <w:rPr>
          <w:rFonts w:hint="eastAsia"/>
          <w:b/>
          <w:bCs/>
          <w:lang w:val="en-US" w:eastAsia="zh-CN"/>
        </w:rPr>
      </w:pPr>
      <w:r>
        <w:rPr>
          <w:rFonts w:hint="eastAsia"/>
          <w:b/>
          <w:bCs/>
          <w:lang w:val="en-US" w:eastAsia="zh-CN"/>
        </w:rPr>
        <w:t>（二）异议</w:t>
      </w:r>
    </w:p>
    <w:p w14:paraId="25A99365">
      <w:pPr>
        <w:ind w:left="0" w:leftChars="0" w:firstLine="420" w:firstLineChars="200"/>
        <w:rPr>
          <w:rFonts w:hint="eastAsia"/>
        </w:rPr>
      </w:pPr>
      <w:r>
        <w:rPr>
          <w:rFonts w:hint="eastAsia"/>
        </w:rPr>
        <w:t>潜在</w:t>
      </w:r>
      <w:r>
        <w:rPr>
          <w:rFonts w:hint="eastAsia"/>
          <w:lang w:eastAsia="zh-CN"/>
        </w:rPr>
        <w:t>投标人</w:t>
      </w:r>
      <w:r>
        <w:rPr>
          <w:rFonts w:hint="eastAsia"/>
        </w:rPr>
        <w:t>对招标文件有异议的，应在投标截止时间</w:t>
      </w:r>
      <w:r>
        <w:rPr>
          <w:rFonts w:hint="eastAsia"/>
          <w:lang w:val="en-US" w:eastAsia="zh-CN"/>
        </w:rPr>
        <w:t>10</w:t>
      </w:r>
      <w:r>
        <w:rPr>
          <w:rFonts w:hint="eastAsia"/>
        </w:rPr>
        <w:t>日前提出，</w:t>
      </w:r>
      <w:r>
        <w:rPr>
          <w:rFonts w:hint="eastAsia"/>
          <w:lang w:eastAsia="zh-CN"/>
        </w:rPr>
        <w:t>招标人</w:t>
      </w:r>
      <w:r>
        <w:rPr>
          <w:rFonts w:hint="eastAsia"/>
        </w:rPr>
        <w:t>应在收到异议之日起3日内答复。</w:t>
      </w:r>
    </w:p>
    <w:p w14:paraId="5D355BB0">
      <w:pPr>
        <w:ind w:left="0" w:leftChars="0" w:firstLine="422" w:firstLineChars="200"/>
        <w:rPr>
          <w:rFonts w:hint="eastAsia"/>
          <w:b/>
          <w:bCs/>
        </w:rPr>
      </w:pPr>
      <w:r>
        <w:rPr>
          <w:rFonts w:hint="eastAsia"/>
          <w:b/>
          <w:bCs/>
          <w:lang w:val="en-US" w:eastAsia="zh-CN"/>
        </w:rPr>
        <w:t>（三）其他</w:t>
      </w:r>
    </w:p>
    <w:p w14:paraId="6BC599ED">
      <w:pPr>
        <w:ind w:left="0" w:leftChars="0" w:firstLine="420" w:firstLineChars="200"/>
      </w:pPr>
      <w:r>
        <w:rPr>
          <w:rFonts w:hint="eastAsia"/>
          <w:lang w:val="en-US" w:eastAsia="zh-CN"/>
        </w:rPr>
        <w:t>1.</w:t>
      </w:r>
      <w:r>
        <w:t>本项目禁止转包或违法分包，中标人须保证不转包、不违法分包。保证服从业主根据项目实际需要进行的项目规模调整。否则，</w:t>
      </w:r>
      <w:r>
        <w:rPr>
          <w:rFonts w:hint="eastAsia"/>
          <w:lang w:eastAsia="zh-CN"/>
        </w:rPr>
        <w:t>招标人</w:t>
      </w:r>
      <w:r>
        <w:t>有权直接取消中标资格或单方面解除合同，由此引起的一切损失和责任由中标人全部承担。</w:t>
      </w:r>
    </w:p>
    <w:p w14:paraId="318C244F">
      <w:pPr>
        <w:ind w:left="0" w:leftChars="0" w:firstLine="420" w:firstLineChars="200"/>
        <w:rPr>
          <w:rFonts w:hint="eastAsia"/>
        </w:rPr>
      </w:pPr>
      <w:r>
        <w:rPr>
          <w:rFonts w:hint="eastAsia"/>
          <w:lang w:val="en-US" w:eastAsia="zh-CN"/>
        </w:rPr>
        <w:t>2.</w:t>
      </w:r>
      <w:r>
        <w:rPr>
          <w:rFonts w:hint="eastAsia"/>
        </w:rPr>
        <w:t>满足资格审查合格条件或通过</w:t>
      </w:r>
      <w:r>
        <w:rPr>
          <w:rFonts w:hint="eastAsia"/>
          <w:lang w:val="en-US" w:eastAsia="zh-CN"/>
        </w:rPr>
        <w:t>符合</w:t>
      </w:r>
      <w:r>
        <w:rPr>
          <w:rFonts w:hint="eastAsia"/>
        </w:rPr>
        <w:t>性审查的</w:t>
      </w:r>
      <w:r>
        <w:rPr>
          <w:rFonts w:hint="eastAsia"/>
          <w:lang w:eastAsia="zh-CN"/>
        </w:rPr>
        <w:t>投标人</w:t>
      </w:r>
      <w:r>
        <w:rPr>
          <w:rFonts w:hint="eastAsia"/>
        </w:rPr>
        <w:t>不足3名时为招标失败。</w:t>
      </w:r>
      <w:r>
        <w:rPr>
          <w:rFonts w:hint="eastAsia"/>
          <w:lang w:eastAsia="zh-CN"/>
        </w:rPr>
        <w:t>招标人</w:t>
      </w:r>
      <w:r>
        <w:rPr>
          <w:rFonts w:hint="eastAsia"/>
        </w:rPr>
        <w:t xml:space="preserve">分析招标失败原因，修正招标方案，重新组织招标。 </w:t>
      </w:r>
    </w:p>
    <w:p w14:paraId="05E7FD62">
      <w:pPr>
        <w:ind w:left="0" w:leftChars="0" w:firstLine="420" w:firstLineChars="200"/>
        <w:rPr>
          <w:rFonts w:hint="eastAsia"/>
        </w:rPr>
      </w:pPr>
      <w:r>
        <w:rPr>
          <w:rFonts w:hint="eastAsia"/>
          <w:lang w:val="en-US" w:eastAsia="zh-CN"/>
        </w:rPr>
        <w:t>3.</w:t>
      </w:r>
      <w:r>
        <w:rPr>
          <w:rFonts w:hint="eastAsia"/>
          <w:lang w:eastAsia="zh-CN"/>
        </w:rPr>
        <w:t>投标人</w:t>
      </w:r>
      <w:r>
        <w:rPr>
          <w:rFonts w:hint="eastAsia"/>
        </w:rPr>
        <w:t>和中标候选人的重大变化告知义务</w:t>
      </w:r>
    </w:p>
    <w:p w14:paraId="113E0347">
      <w:pPr>
        <w:ind w:left="0" w:leftChars="0" w:firstLine="420" w:firstLineChars="200"/>
        <w:rPr>
          <w:rFonts w:hint="eastAsia"/>
        </w:rPr>
      </w:pPr>
      <w:r>
        <w:rPr>
          <w:rFonts w:hint="eastAsia"/>
          <w:lang w:eastAsia="zh-CN"/>
        </w:rPr>
        <w:t>投标人</w:t>
      </w:r>
      <w:r>
        <w:rPr>
          <w:rFonts w:hint="eastAsia"/>
        </w:rPr>
        <w:t>发生可能影响其资格条件或者招标公正性的重大变化、中标候选人的经营、财务状况发生较大变化或者存在违法行为的（包括但不限于：合并、分立、破产、重大财务变化等主要人员变化、被责令关闭、被吊销营业执照、一定期限内被禁止参加依法必须招标项目的投标等情形），应当及时书面告知</w:t>
      </w:r>
      <w:r>
        <w:rPr>
          <w:rFonts w:hint="eastAsia"/>
          <w:lang w:eastAsia="zh-CN"/>
        </w:rPr>
        <w:t>招标人</w:t>
      </w:r>
      <w:r>
        <w:rPr>
          <w:rFonts w:hint="eastAsia"/>
        </w:rPr>
        <w:t>。</w:t>
      </w:r>
    </w:p>
    <w:p w14:paraId="17A1839A">
      <w:pPr>
        <w:ind w:left="0" w:leftChars="0" w:firstLine="420" w:firstLineChars="200"/>
        <w:rPr>
          <w:rFonts w:hint="eastAsia"/>
          <w:lang w:eastAsia="zh-CN"/>
        </w:rPr>
      </w:pPr>
      <w:r>
        <w:rPr>
          <w:rFonts w:hint="eastAsia"/>
          <w:lang w:val="en-US" w:eastAsia="zh-CN"/>
        </w:rPr>
        <w:t>4.</w:t>
      </w:r>
      <w:r>
        <w:rPr>
          <w:rFonts w:hint="eastAsia"/>
        </w:rPr>
        <w:t>未中标单位经济补偿及补偿金额：</w:t>
      </w:r>
      <w:r>
        <w:rPr>
          <w:rFonts w:hint="eastAsia"/>
        </w:rPr>
        <w:t>本招标项目不设投标补偿。</w:t>
      </w:r>
    </w:p>
    <w:p w14:paraId="4D4DBB5D">
      <w:pPr>
        <w:ind w:left="0" w:leftChars="0" w:firstLine="422" w:firstLineChars="200"/>
        <w:rPr>
          <w:rFonts w:hint="eastAsia"/>
          <w:b/>
          <w:bCs/>
        </w:rPr>
      </w:pPr>
      <w:r>
        <w:rPr>
          <w:rFonts w:hint="eastAsia"/>
          <w:b/>
          <w:bCs/>
          <w:lang w:val="en-US" w:eastAsia="zh-CN"/>
        </w:rPr>
        <w:t>十二</w:t>
      </w:r>
      <w:r>
        <w:rPr>
          <w:rFonts w:hint="eastAsia"/>
          <w:b/>
          <w:bCs/>
          <w:lang w:eastAsia="zh-CN"/>
        </w:rPr>
        <w:t>、招标人</w:t>
      </w:r>
      <w:r>
        <w:rPr>
          <w:rFonts w:hint="eastAsia"/>
          <w:b/>
          <w:bCs/>
        </w:rPr>
        <w:t>联系方式</w:t>
      </w:r>
    </w:p>
    <w:p w14:paraId="1D32C309">
      <w:pPr>
        <w:ind w:left="0" w:leftChars="0" w:firstLine="420" w:firstLineChars="200"/>
        <w:rPr>
          <w:rFonts w:hint="eastAsia"/>
        </w:rPr>
      </w:pPr>
      <w:r>
        <w:rPr>
          <w:rFonts w:hint="eastAsia"/>
          <w:lang w:eastAsia="zh-CN"/>
        </w:rPr>
        <w:t>招标人</w:t>
      </w:r>
      <w:r>
        <w:rPr>
          <w:rFonts w:hint="eastAsia"/>
        </w:rPr>
        <w:t>：</w:t>
      </w:r>
      <w:r>
        <w:rPr>
          <w:rFonts w:hint="eastAsia"/>
          <w:lang w:eastAsia="zh-CN"/>
        </w:rPr>
        <w:t>广东省象宇酒店管理有限责任公司</w:t>
      </w:r>
      <w:r>
        <w:rPr>
          <w:rFonts w:hint="eastAsia"/>
        </w:rPr>
        <w:t xml:space="preserve"> </w:t>
      </w:r>
    </w:p>
    <w:p w14:paraId="100A907E">
      <w:pPr>
        <w:ind w:left="0" w:leftChars="0" w:firstLine="420" w:firstLineChars="200"/>
        <w:rPr>
          <w:rFonts w:hint="eastAsia"/>
        </w:rPr>
      </w:pPr>
      <w:r>
        <w:rPr>
          <w:rFonts w:hint="eastAsia"/>
        </w:rPr>
        <w:t>联系人： 邬</w:t>
      </w:r>
      <w:r>
        <w:rPr>
          <w:rFonts w:hint="eastAsia"/>
          <w:lang w:val="en-US" w:eastAsia="zh-CN"/>
        </w:rPr>
        <w:t>工</w:t>
      </w:r>
      <w:r>
        <w:rPr>
          <w:rFonts w:hint="eastAsia"/>
        </w:rPr>
        <w:t xml:space="preserve">  </w:t>
      </w:r>
    </w:p>
    <w:p w14:paraId="30290F91">
      <w:pPr>
        <w:ind w:left="0" w:leftChars="0" w:firstLine="420" w:firstLineChars="200"/>
        <w:rPr>
          <w:rFonts w:hint="eastAsia"/>
        </w:rPr>
      </w:pPr>
      <w:r>
        <w:rPr>
          <w:rFonts w:hint="eastAsia"/>
        </w:rPr>
        <w:t>联系电话：020-87676359</w:t>
      </w:r>
    </w:p>
    <w:p w14:paraId="16987AE2">
      <w:pPr>
        <w:ind w:left="0" w:leftChars="0" w:firstLine="420" w:firstLineChars="200"/>
        <w:rPr>
          <w:rFonts w:hint="eastAsia"/>
        </w:rPr>
      </w:pPr>
      <w:r>
        <w:rPr>
          <w:rFonts w:hint="eastAsia"/>
        </w:rPr>
        <w:t xml:space="preserve">联系地址：广州市越秀区福今路6号大院 </w:t>
      </w:r>
    </w:p>
    <w:p w14:paraId="2FBDF38D">
      <w:pPr>
        <w:ind w:left="0" w:leftChars="0" w:firstLine="420" w:firstLineChars="200"/>
        <w:rPr>
          <w:rFonts w:hint="eastAsia"/>
          <w:lang w:val="en-US" w:eastAsia="zh-CN"/>
        </w:rPr>
      </w:pPr>
      <w:r>
        <w:rPr>
          <w:rFonts w:hint="eastAsia"/>
          <w:lang w:val="en-US" w:eastAsia="zh-CN"/>
        </w:rPr>
        <w:t>十三、招标代理机构联系方式</w:t>
      </w:r>
    </w:p>
    <w:p w14:paraId="6286840B">
      <w:pPr>
        <w:ind w:left="0" w:leftChars="0" w:firstLine="420" w:firstLineChars="200"/>
        <w:rPr>
          <w:rFonts w:hint="eastAsia"/>
        </w:rPr>
      </w:pPr>
      <w:r>
        <w:rPr>
          <w:rFonts w:hint="eastAsia"/>
          <w:lang w:eastAsia="zh-CN"/>
        </w:rPr>
        <w:t>招标代理机构</w:t>
      </w:r>
      <w:r>
        <w:rPr>
          <w:rFonts w:hint="eastAsia"/>
        </w:rPr>
        <w:t>：广州市云兴建设工程监理有限公司</w:t>
      </w:r>
    </w:p>
    <w:p w14:paraId="77422AD5">
      <w:pPr>
        <w:ind w:left="0" w:leftChars="0" w:firstLine="420" w:firstLineChars="200"/>
        <w:rPr>
          <w:rFonts w:hint="eastAsia"/>
        </w:rPr>
      </w:pPr>
      <w:r>
        <w:rPr>
          <w:rFonts w:hint="eastAsia"/>
        </w:rPr>
        <w:t>联系人：岑工</w:t>
      </w:r>
    </w:p>
    <w:p w14:paraId="3CB05ED5">
      <w:pPr>
        <w:ind w:left="0" w:leftChars="0" w:firstLine="420" w:firstLineChars="200"/>
        <w:rPr>
          <w:rFonts w:hint="eastAsia"/>
        </w:rPr>
      </w:pPr>
      <w:r>
        <w:rPr>
          <w:rFonts w:hint="eastAsia"/>
        </w:rPr>
        <w:t>联系电话：020-83851835</w:t>
      </w:r>
    </w:p>
    <w:p w14:paraId="45A2E6DB">
      <w:pPr>
        <w:ind w:left="0" w:leftChars="0" w:firstLine="420" w:firstLineChars="200"/>
        <w:rPr>
          <w:rFonts w:hint="eastAsia"/>
        </w:rPr>
      </w:pPr>
      <w:r>
        <w:rPr>
          <w:rFonts w:hint="eastAsia"/>
        </w:rPr>
        <w:t>联系地址：广州市</w:t>
      </w:r>
      <w:r>
        <w:rPr>
          <w:rFonts w:hint="eastAsia"/>
          <w:lang w:val="en-US" w:eastAsia="zh-CN"/>
        </w:rPr>
        <w:t>白云区</w:t>
      </w:r>
      <w:r>
        <w:rPr>
          <w:rFonts w:hint="eastAsia"/>
        </w:rPr>
        <w:t>下塘西路686号302室</w:t>
      </w:r>
    </w:p>
    <w:p w14:paraId="4CD79DF5">
      <w:pPr>
        <w:ind w:left="0" w:leftChars="0" w:firstLine="420" w:firstLineChars="200"/>
        <w:rPr>
          <w:rFonts w:hint="eastAsia"/>
          <w:lang w:val="en-US" w:eastAsia="zh-CN"/>
        </w:rPr>
      </w:pPr>
    </w:p>
    <w:p w14:paraId="0BB25737">
      <w:pPr>
        <w:ind w:left="0" w:leftChars="0" w:firstLine="420" w:firstLineChars="200"/>
        <w:rPr>
          <w:rFonts w:hint="eastAsia"/>
        </w:rPr>
      </w:pPr>
      <w:r>
        <w:rPr>
          <w:rFonts w:hint="eastAsia"/>
          <w:lang w:val="en-US" w:eastAsia="zh-CN"/>
        </w:rPr>
        <w:t>招标人：</w:t>
      </w:r>
      <w:r>
        <w:rPr>
          <w:rFonts w:hint="eastAsia"/>
          <w:lang w:eastAsia="zh-CN"/>
        </w:rPr>
        <w:t>广东省象宇酒店管理有限责任公司</w:t>
      </w:r>
      <w:r>
        <w:rPr>
          <w:rFonts w:hint="eastAsia"/>
        </w:rPr>
        <w:t xml:space="preserve"> </w:t>
      </w:r>
    </w:p>
    <w:p w14:paraId="6032A7F0">
      <w:pPr>
        <w:ind w:left="0" w:leftChars="0" w:firstLine="420" w:firstLineChars="200"/>
        <w:rPr>
          <w:rFonts w:hint="eastAsia"/>
        </w:rPr>
      </w:pPr>
      <w:r>
        <w:rPr>
          <w:rFonts w:hint="eastAsia"/>
          <w:lang w:eastAsia="zh-CN"/>
        </w:rPr>
        <w:t>招标代理机构</w:t>
      </w:r>
      <w:r>
        <w:rPr>
          <w:rFonts w:hint="eastAsia"/>
        </w:rPr>
        <w:t>：</w:t>
      </w:r>
      <w:r>
        <w:rPr>
          <w:rFonts w:hint="eastAsia"/>
        </w:rPr>
        <w:t>广州市云兴建设工程监理有限公司</w:t>
      </w:r>
    </w:p>
    <w:p w14:paraId="58ECB0D8">
      <w:pPr>
        <w:ind w:left="0" w:leftChars="0" w:firstLine="420" w:firstLineChars="200"/>
        <w:jc w:val="right"/>
        <w:rPr>
          <w:rFonts w:hint="eastAsia"/>
        </w:rPr>
      </w:pPr>
      <w:r>
        <w:rPr>
          <w:rFonts w:hint="eastAsia"/>
          <w:lang w:eastAsia="zh-CN"/>
        </w:rPr>
        <w:t>2025</w:t>
      </w:r>
      <w:r>
        <w:rPr>
          <w:rFonts w:hint="eastAsia"/>
        </w:rPr>
        <w:t>年</w:t>
      </w:r>
      <w:r>
        <w:rPr>
          <w:rFonts w:hint="eastAsia"/>
          <w:lang w:val="en-US" w:eastAsia="zh-CN"/>
        </w:rPr>
        <w:t>12</w:t>
      </w:r>
      <w:r>
        <w:rPr>
          <w:rFonts w:hint="eastAsia"/>
        </w:rPr>
        <w:t>月</w:t>
      </w:r>
      <w:r>
        <w:rPr>
          <w:rFonts w:hint="eastAsia"/>
          <w:lang w:val="en-US" w:eastAsia="zh-CN"/>
        </w:rPr>
        <w:t xml:space="preserve"> 2 </w:t>
      </w:r>
      <w:r>
        <w:rPr>
          <w:rFonts w:hint="eastAsia"/>
        </w:rPr>
        <w:t>日</w:t>
      </w:r>
    </w:p>
    <w:p w14:paraId="2A515F97">
      <w:pPr>
        <w:ind w:left="0" w:leftChars="0" w:firstLine="420" w:firstLineChars="200"/>
        <w:rPr>
          <w:rFonts w:hint="eastAsia"/>
        </w:rPr>
        <w:sectPr>
          <w:headerReference r:id="rId5" w:type="first"/>
          <w:footerReference r:id="rId8" w:type="first"/>
          <w:headerReference r:id="rId3" w:type="default"/>
          <w:footerReference r:id="rId6" w:type="default"/>
          <w:headerReference r:id="rId4" w:type="even"/>
          <w:footerReference r:id="rId7" w:type="even"/>
          <w:pgSz w:w="11900" w:h="16838"/>
          <w:pgMar w:top="1440" w:right="1440" w:bottom="1440" w:left="1440" w:header="850" w:footer="850" w:gutter="0"/>
          <w:pgNumType w:fmt="decimal"/>
          <w:cols w:space="720" w:num="1"/>
        </w:sectPr>
      </w:pPr>
    </w:p>
    <w:tbl>
      <w:tblPr>
        <w:tblStyle w:val="5"/>
        <w:tblW w:w="14520" w:type="dxa"/>
        <w:jc w:val="center"/>
        <w:tblLayout w:type="fixed"/>
        <w:tblCellMar>
          <w:top w:w="0" w:type="dxa"/>
          <w:left w:w="108" w:type="dxa"/>
          <w:bottom w:w="0" w:type="dxa"/>
          <w:right w:w="108" w:type="dxa"/>
        </w:tblCellMar>
      </w:tblPr>
      <w:tblGrid>
        <w:gridCol w:w="680"/>
        <w:gridCol w:w="1520"/>
        <w:gridCol w:w="3080"/>
        <w:gridCol w:w="3080"/>
        <w:gridCol w:w="3080"/>
        <w:gridCol w:w="3080"/>
      </w:tblGrid>
      <w:tr w14:paraId="5F839F7E">
        <w:tblPrEx>
          <w:tblCellMar>
            <w:top w:w="0" w:type="dxa"/>
            <w:left w:w="108" w:type="dxa"/>
            <w:bottom w:w="0" w:type="dxa"/>
            <w:right w:w="108" w:type="dxa"/>
          </w:tblCellMar>
        </w:tblPrEx>
        <w:trPr>
          <w:trHeight w:val="735" w:hRule="atLeast"/>
          <w:jc w:val="center"/>
        </w:trPr>
        <w:tc>
          <w:tcPr>
            <w:tcW w:w="14520" w:type="dxa"/>
            <w:gridSpan w:val="6"/>
            <w:tcBorders>
              <w:top w:val="nil"/>
              <w:left w:val="nil"/>
              <w:bottom w:val="nil"/>
              <w:right w:val="nil"/>
            </w:tcBorders>
            <w:noWrap/>
            <w:vAlign w:val="center"/>
          </w:tcPr>
          <w:p w14:paraId="479B46E8">
            <w:pPr>
              <w:rPr>
                <w:rFonts w:hint="eastAsia"/>
              </w:rPr>
            </w:pPr>
            <w:r>
              <w:rPr>
                <w:rFonts w:hint="eastAsia"/>
              </w:rPr>
              <w:t xml:space="preserve">附件一 </w:t>
            </w:r>
          </w:p>
          <w:p w14:paraId="33B61208">
            <w:pPr>
              <w:jc w:val="center"/>
              <w:rPr>
                <w:rFonts w:hint="eastAsia"/>
              </w:rPr>
            </w:pPr>
            <w:bookmarkStart w:id="0" w:name="_GoBack"/>
            <w:r>
              <w:rPr>
                <w:rFonts w:hint="eastAsia"/>
                <w:b/>
                <w:bCs/>
                <w:sz w:val="40"/>
                <w:szCs w:val="48"/>
                <w:lang w:eastAsia="zh-CN"/>
              </w:rPr>
              <w:t>招标文件</w:t>
            </w:r>
            <w:r>
              <w:rPr>
                <w:rFonts w:hint="eastAsia"/>
                <w:b/>
                <w:bCs/>
                <w:sz w:val="40"/>
                <w:szCs w:val="48"/>
              </w:rPr>
              <w:t>登记表</w:t>
            </w:r>
            <w:bookmarkEnd w:id="0"/>
          </w:p>
        </w:tc>
      </w:tr>
      <w:tr w14:paraId="4BAD6561">
        <w:tblPrEx>
          <w:tblCellMar>
            <w:top w:w="0" w:type="dxa"/>
            <w:left w:w="108" w:type="dxa"/>
            <w:bottom w:w="0" w:type="dxa"/>
            <w:right w:w="108" w:type="dxa"/>
          </w:tblCellMar>
        </w:tblPrEx>
        <w:trPr>
          <w:trHeight w:val="702" w:hRule="atLeast"/>
          <w:jc w:val="center"/>
        </w:trPr>
        <w:tc>
          <w:tcPr>
            <w:tcW w:w="2200" w:type="dxa"/>
            <w:gridSpan w:val="2"/>
            <w:tcBorders>
              <w:top w:val="single" w:color="auto" w:sz="4" w:space="0"/>
              <w:left w:val="single" w:color="auto" w:sz="4" w:space="0"/>
              <w:bottom w:val="single" w:color="auto" w:sz="4" w:space="0"/>
              <w:right w:val="single" w:color="auto" w:sz="4" w:space="0"/>
            </w:tcBorders>
            <w:noWrap/>
            <w:vAlign w:val="center"/>
          </w:tcPr>
          <w:p w14:paraId="1C2924B2">
            <w:pPr>
              <w:rPr>
                <w:rFonts w:hint="eastAsia"/>
              </w:rPr>
            </w:pPr>
            <w:r>
              <w:rPr>
                <w:rFonts w:hint="eastAsia"/>
              </w:rPr>
              <w:t>项目名称</w:t>
            </w:r>
          </w:p>
        </w:tc>
        <w:tc>
          <w:tcPr>
            <w:tcW w:w="6160" w:type="dxa"/>
            <w:gridSpan w:val="2"/>
            <w:tcBorders>
              <w:top w:val="single" w:color="auto" w:sz="4" w:space="0"/>
              <w:left w:val="nil"/>
              <w:bottom w:val="single" w:color="auto" w:sz="4" w:space="0"/>
              <w:right w:val="single" w:color="auto" w:sz="4" w:space="0"/>
            </w:tcBorders>
            <w:noWrap/>
            <w:vAlign w:val="center"/>
          </w:tcPr>
          <w:p w14:paraId="779C4229">
            <w:pPr>
              <w:rPr>
                <w:rFonts w:hint="eastAsia"/>
              </w:rPr>
            </w:pPr>
            <w:r>
              <w:rPr>
                <w:rFonts w:hint="eastAsia"/>
                <w:lang w:eastAsia="zh-CN"/>
              </w:rPr>
              <w:t>风雲公寓（福今）修缮项目</w:t>
            </w:r>
          </w:p>
        </w:tc>
        <w:tc>
          <w:tcPr>
            <w:tcW w:w="3080" w:type="dxa"/>
            <w:tcBorders>
              <w:top w:val="single" w:color="auto" w:sz="4" w:space="0"/>
              <w:left w:val="nil"/>
              <w:bottom w:val="single" w:color="auto" w:sz="4" w:space="0"/>
              <w:right w:val="single" w:color="auto" w:sz="4" w:space="0"/>
            </w:tcBorders>
            <w:noWrap/>
            <w:vAlign w:val="center"/>
          </w:tcPr>
          <w:p w14:paraId="341496B9">
            <w:pPr>
              <w:rPr>
                <w:rFonts w:hint="eastAsia"/>
              </w:rPr>
            </w:pPr>
            <w:r>
              <w:rPr>
                <w:rFonts w:hint="eastAsia"/>
              </w:rPr>
              <w:t>获取文件日期</w:t>
            </w:r>
          </w:p>
        </w:tc>
        <w:tc>
          <w:tcPr>
            <w:tcW w:w="3080" w:type="dxa"/>
            <w:tcBorders>
              <w:top w:val="single" w:color="auto" w:sz="4" w:space="0"/>
              <w:left w:val="nil"/>
              <w:bottom w:val="single" w:color="auto" w:sz="4" w:space="0"/>
              <w:right w:val="single" w:color="auto" w:sz="4" w:space="0"/>
            </w:tcBorders>
            <w:noWrap/>
            <w:vAlign w:val="center"/>
          </w:tcPr>
          <w:p w14:paraId="1245CE9E">
            <w:pPr>
              <w:rPr>
                <w:rFonts w:hint="eastAsia"/>
              </w:rPr>
            </w:pPr>
            <w:r>
              <w:rPr>
                <w:rFonts w:hint="eastAsia"/>
                <w:lang w:eastAsia="zh-CN"/>
              </w:rPr>
              <w:t>2025</w:t>
            </w:r>
            <w:r>
              <w:rPr>
                <w:rFonts w:hint="eastAsia"/>
              </w:rPr>
              <w:t>年   月   日</w:t>
            </w:r>
          </w:p>
        </w:tc>
      </w:tr>
      <w:tr w14:paraId="7494B04C">
        <w:tblPrEx>
          <w:tblCellMar>
            <w:top w:w="0" w:type="dxa"/>
            <w:left w:w="108" w:type="dxa"/>
            <w:bottom w:w="0" w:type="dxa"/>
            <w:right w:w="108" w:type="dxa"/>
          </w:tblCellMar>
        </w:tblPrEx>
        <w:trPr>
          <w:trHeight w:val="702" w:hRule="atLeast"/>
          <w:jc w:val="center"/>
        </w:trPr>
        <w:tc>
          <w:tcPr>
            <w:tcW w:w="680" w:type="dxa"/>
            <w:vMerge w:val="restart"/>
            <w:tcBorders>
              <w:top w:val="nil"/>
              <w:left w:val="single" w:color="auto" w:sz="4" w:space="0"/>
              <w:bottom w:val="single" w:color="auto" w:sz="4" w:space="0"/>
              <w:right w:val="single" w:color="auto" w:sz="4" w:space="0"/>
            </w:tcBorders>
            <w:noWrap/>
            <w:vAlign w:val="center"/>
          </w:tcPr>
          <w:p w14:paraId="4549FCB9">
            <w:pPr>
              <w:rPr>
                <w:rFonts w:hint="eastAsia"/>
                <w:lang w:val="en-US" w:eastAsia="zh-CN"/>
              </w:rPr>
            </w:pPr>
            <w:r>
              <w:rPr>
                <w:rFonts w:hint="eastAsia"/>
                <w:lang w:val="en-US" w:eastAsia="zh-CN"/>
              </w:rPr>
              <w:t>投</w:t>
            </w:r>
          </w:p>
          <w:p w14:paraId="46A799FA">
            <w:pPr>
              <w:rPr>
                <w:rFonts w:hint="eastAsia"/>
                <w:lang w:eastAsia="zh-CN"/>
              </w:rPr>
            </w:pPr>
            <w:r>
              <w:rPr>
                <w:rFonts w:hint="eastAsia"/>
                <w:lang w:val="en-US" w:eastAsia="zh-CN"/>
              </w:rPr>
              <w:t>标</w:t>
            </w:r>
          </w:p>
          <w:p w14:paraId="1CD8AC61">
            <w:pPr>
              <w:rPr>
                <w:rFonts w:hint="eastAsia"/>
              </w:rPr>
            </w:pPr>
            <w:r>
              <w:rPr>
                <w:rFonts w:hint="eastAsia"/>
              </w:rPr>
              <w:t>人  资   料</w:t>
            </w:r>
          </w:p>
        </w:tc>
        <w:tc>
          <w:tcPr>
            <w:tcW w:w="1520" w:type="dxa"/>
            <w:tcBorders>
              <w:top w:val="nil"/>
              <w:left w:val="nil"/>
              <w:bottom w:val="single" w:color="auto" w:sz="4" w:space="0"/>
              <w:right w:val="single" w:color="auto" w:sz="4" w:space="0"/>
            </w:tcBorders>
            <w:noWrap/>
            <w:vAlign w:val="center"/>
          </w:tcPr>
          <w:p w14:paraId="5FACBD28">
            <w:pPr>
              <w:rPr>
                <w:rFonts w:hint="eastAsia"/>
              </w:rPr>
            </w:pPr>
            <w:r>
              <w:rPr>
                <w:rFonts w:hint="eastAsia"/>
                <w:lang w:eastAsia="zh-CN"/>
              </w:rPr>
              <w:t>投标人</w:t>
            </w:r>
            <w:r>
              <w:rPr>
                <w:rFonts w:hint="eastAsia"/>
              </w:rPr>
              <w:t>名称</w:t>
            </w:r>
          </w:p>
        </w:tc>
        <w:tc>
          <w:tcPr>
            <w:tcW w:w="6160" w:type="dxa"/>
            <w:gridSpan w:val="2"/>
            <w:tcBorders>
              <w:top w:val="single" w:color="auto" w:sz="4" w:space="0"/>
              <w:left w:val="nil"/>
              <w:bottom w:val="single" w:color="auto" w:sz="4" w:space="0"/>
              <w:right w:val="single" w:color="auto" w:sz="4" w:space="0"/>
            </w:tcBorders>
            <w:noWrap/>
            <w:vAlign w:val="center"/>
          </w:tcPr>
          <w:p w14:paraId="306FDC59">
            <w:pPr>
              <w:rPr>
                <w:rFonts w:hint="eastAsia"/>
              </w:rPr>
            </w:pPr>
            <w:r>
              <w:rPr>
                <w:rFonts w:hint="eastAsia"/>
              </w:rPr>
              <w:t>　</w:t>
            </w:r>
          </w:p>
        </w:tc>
        <w:tc>
          <w:tcPr>
            <w:tcW w:w="3080" w:type="dxa"/>
            <w:tcBorders>
              <w:top w:val="nil"/>
              <w:left w:val="nil"/>
              <w:bottom w:val="single" w:color="auto" w:sz="4" w:space="0"/>
              <w:right w:val="single" w:color="auto" w:sz="4" w:space="0"/>
            </w:tcBorders>
            <w:noWrap/>
            <w:vAlign w:val="center"/>
          </w:tcPr>
          <w:p w14:paraId="34C9030F">
            <w:pPr>
              <w:rPr>
                <w:rFonts w:hint="eastAsia"/>
              </w:rPr>
            </w:pPr>
            <w:r>
              <w:rPr>
                <w:rFonts w:hint="eastAsia"/>
              </w:rPr>
              <w:t>文件价格（元/套）</w:t>
            </w:r>
          </w:p>
        </w:tc>
        <w:tc>
          <w:tcPr>
            <w:tcW w:w="3080" w:type="dxa"/>
            <w:tcBorders>
              <w:top w:val="nil"/>
              <w:left w:val="nil"/>
              <w:bottom w:val="single" w:color="auto" w:sz="4" w:space="0"/>
              <w:right w:val="single" w:color="auto" w:sz="4" w:space="0"/>
            </w:tcBorders>
            <w:noWrap/>
            <w:vAlign w:val="center"/>
          </w:tcPr>
          <w:p w14:paraId="6CEE466A">
            <w:pPr>
              <w:rPr>
                <w:rFonts w:hint="eastAsia"/>
              </w:rPr>
            </w:pPr>
            <w:r>
              <w:rPr>
                <w:rFonts w:hint="eastAsia"/>
              </w:rPr>
              <w:t>300</w:t>
            </w:r>
            <w:r>
              <w:rPr>
                <w:rFonts w:hint="eastAsia"/>
              </w:rPr>
              <w:t>元</w:t>
            </w:r>
          </w:p>
        </w:tc>
      </w:tr>
      <w:tr w14:paraId="2AF0A51B">
        <w:tblPrEx>
          <w:tblCellMar>
            <w:top w:w="0" w:type="dxa"/>
            <w:left w:w="108" w:type="dxa"/>
            <w:bottom w:w="0" w:type="dxa"/>
            <w:right w:w="108" w:type="dxa"/>
          </w:tblCellMar>
        </w:tblPrEx>
        <w:trPr>
          <w:trHeight w:val="702" w:hRule="atLeast"/>
          <w:jc w:val="center"/>
        </w:trPr>
        <w:tc>
          <w:tcPr>
            <w:tcW w:w="680" w:type="dxa"/>
            <w:vMerge w:val="continue"/>
            <w:tcBorders>
              <w:top w:val="nil"/>
              <w:left w:val="single" w:color="auto" w:sz="4" w:space="0"/>
              <w:bottom w:val="single" w:color="auto" w:sz="4" w:space="0"/>
              <w:right w:val="single" w:color="auto" w:sz="4" w:space="0"/>
            </w:tcBorders>
            <w:noWrap/>
            <w:vAlign w:val="center"/>
          </w:tcPr>
          <w:p w14:paraId="7F73B3BF">
            <w:pPr>
              <w:rPr>
                <w:rFonts w:hint="eastAsia"/>
              </w:rPr>
            </w:pPr>
          </w:p>
        </w:tc>
        <w:tc>
          <w:tcPr>
            <w:tcW w:w="1520" w:type="dxa"/>
            <w:tcBorders>
              <w:top w:val="nil"/>
              <w:left w:val="nil"/>
              <w:bottom w:val="single" w:color="auto" w:sz="4" w:space="0"/>
              <w:right w:val="single" w:color="auto" w:sz="4" w:space="0"/>
            </w:tcBorders>
            <w:noWrap/>
            <w:vAlign w:val="center"/>
          </w:tcPr>
          <w:p w14:paraId="7556D5BD">
            <w:pPr>
              <w:rPr>
                <w:rFonts w:hint="eastAsia"/>
              </w:rPr>
            </w:pPr>
            <w:r>
              <w:rPr>
                <w:rFonts w:hint="eastAsia"/>
              </w:rPr>
              <w:t>地址</w:t>
            </w:r>
          </w:p>
        </w:tc>
        <w:tc>
          <w:tcPr>
            <w:tcW w:w="6160" w:type="dxa"/>
            <w:gridSpan w:val="2"/>
            <w:tcBorders>
              <w:top w:val="single" w:color="auto" w:sz="4" w:space="0"/>
              <w:left w:val="nil"/>
              <w:bottom w:val="single" w:color="auto" w:sz="4" w:space="0"/>
              <w:right w:val="single" w:color="auto" w:sz="4" w:space="0"/>
            </w:tcBorders>
            <w:noWrap/>
            <w:vAlign w:val="center"/>
          </w:tcPr>
          <w:p w14:paraId="4E9A9C76">
            <w:pPr>
              <w:rPr>
                <w:rFonts w:hint="eastAsia"/>
              </w:rPr>
            </w:pPr>
            <w:r>
              <w:rPr>
                <w:rFonts w:hint="eastAsia"/>
              </w:rPr>
              <w:t>　</w:t>
            </w:r>
          </w:p>
        </w:tc>
        <w:tc>
          <w:tcPr>
            <w:tcW w:w="3080" w:type="dxa"/>
            <w:tcBorders>
              <w:top w:val="nil"/>
              <w:left w:val="nil"/>
              <w:bottom w:val="single" w:color="auto" w:sz="4" w:space="0"/>
              <w:right w:val="single" w:color="auto" w:sz="4" w:space="0"/>
            </w:tcBorders>
            <w:noWrap/>
            <w:vAlign w:val="center"/>
          </w:tcPr>
          <w:p w14:paraId="7CD06A72">
            <w:pPr>
              <w:rPr>
                <w:rFonts w:hint="eastAsia"/>
                <w:lang w:eastAsia="zh-CN"/>
              </w:rPr>
            </w:pPr>
            <w:r>
              <w:rPr>
                <w:rFonts w:hint="eastAsia"/>
                <w:lang w:val="en-US" w:eastAsia="zh-CN"/>
              </w:rPr>
              <w:t>邮箱</w:t>
            </w:r>
          </w:p>
        </w:tc>
        <w:tc>
          <w:tcPr>
            <w:tcW w:w="3080" w:type="dxa"/>
            <w:tcBorders>
              <w:top w:val="nil"/>
              <w:left w:val="nil"/>
              <w:bottom w:val="single" w:color="auto" w:sz="4" w:space="0"/>
              <w:right w:val="single" w:color="auto" w:sz="4" w:space="0"/>
            </w:tcBorders>
            <w:noWrap/>
            <w:vAlign w:val="center"/>
          </w:tcPr>
          <w:p w14:paraId="59C63DD1">
            <w:pPr>
              <w:rPr>
                <w:rFonts w:hint="eastAsia"/>
              </w:rPr>
            </w:pPr>
          </w:p>
        </w:tc>
      </w:tr>
      <w:tr w14:paraId="46F272D8">
        <w:tblPrEx>
          <w:tblCellMar>
            <w:top w:w="0" w:type="dxa"/>
            <w:left w:w="108" w:type="dxa"/>
            <w:bottom w:w="0" w:type="dxa"/>
            <w:right w:w="108" w:type="dxa"/>
          </w:tblCellMar>
        </w:tblPrEx>
        <w:trPr>
          <w:trHeight w:val="702" w:hRule="atLeast"/>
          <w:jc w:val="center"/>
        </w:trPr>
        <w:tc>
          <w:tcPr>
            <w:tcW w:w="680" w:type="dxa"/>
            <w:vMerge w:val="continue"/>
            <w:tcBorders>
              <w:top w:val="nil"/>
              <w:left w:val="single" w:color="auto" w:sz="4" w:space="0"/>
              <w:bottom w:val="single" w:color="auto" w:sz="4" w:space="0"/>
              <w:right w:val="single" w:color="auto" w:sz="4" w:space="0"/>
            </w:tcBorders>
            <w:noWrap/>
            <w:vAlign w:val="center"/>
          </w:tcPr>
          <w:p w14:paraId="26021EEC">
            <w:pPr>
              <w:rPr>
                <w:rFonts w:hint="eastAsia"/>
              </w:rPr>
            </w:pPr>
          </w:p>
        </w:tc>
        <w:tc>
          <w:tcPr>
            <w:tcW w:w="1520" w:type="dxa"/>
            <w:vMerge w:val="restart"/>
            <w:tcBorders>
              <w:top w:val="nil"/>
              <w:left w:val="single" w:color="auto" w:sz="4" w:space="0"/>
              <w:bottom w:val="single" w:color="auto" w:sz="4" w:space="0"/>
              <w:right w:val="single" w:color="auto" w:sz="4" w:space="0"/>
            </w:tcBorders>
            <w:noWrap/>
            <w:vAlign w:val="center"/>
          </w:tcPr>
          <w:p w14:paraId="3DC685C8">
            <w:pPr>
              <w:rPr>
                <w:rFonts w:hint="eastAsia"/>
              </w:rPr>
            </w:pPr>
            <w:r>
              <w:rPr>
                <w:rFonts w:hint="eastAsia"/>
              </w:rPr>
              <w:t>联系人</w:t>
            </w:r>
          </w:p>
        </w:tc>
        <w:tc>
          <w:tcPr>
            <w:tcW w:w="3080" w:type="dxa"/>
            <w:tcBorders>
              <w:top w:val="nil"/>
              <w:left w:val="nil"/>
              <w:bottom w:val="single" w:color="auto" w:sz="4" w:space="0"/>
              <w:right w:val="single" w:color="auto" w:sz="4" w:space="0"/>
            </w:tcBorders>
            <w:noWrap/>
            <w:vAlign w:val="center"/>
          </w:tcPr>
          <w:p w14:paraId="0F62E3A1">
            <w:pPr>
              <w:rPr>
                <w:rFonts w:hint="eastAsia"/>
              </w:rPr>
            </w:pPr>
            <w:r>
              <w:rPr>
                <w:rFonts w:hint="eastAsia"/>
              </w:rPr>
              <w:t>姓名</w:t>
            </w:r>
          </w:p>
        </w:tc>
        <w:tc>
          <w:tcPr>
            <w:tcW w:w="3080" w:type="dxa"/>
            <w:tcBorders>
              <w:top w:val="nil"/>
              <w:left w:val="nil"/>
              <w:bottom w:val="single" w:color="auto" w:sz="4" w:space="0"/>
              <w:right w:val="single" w:color="auto" w:sz="4" w:space="0"/>
            </w:tcBorders>
            <w:noWrap/>
            <w:vAlign w:val="center"/>
          </w:tcPr>
          <w:p w14:paraId="760EDA8C">
            <w:pPr>
              <w:rPr>
                <w:rFonts w:hint="eastAsia"/>
              </w:rPr>
            </w:pPr>
            <w:r>
              <w:rPr>
                <w:rFonts w:hint="eastAsia"/>
              </w:rPr>
              <w:t>电话</w:t>
            </w:r>
          </w:p>
        </w:tc>
        <w:tc>
          <w:tcPr>
            <w:tcW w:w="3080" w:type="dxa"/>
            <w:tcBorders>
              <w:top w:val="nil"/>
              <w:left w:val="nil"/>
              <w:bottom w:val="single" w:color="auto" w:sz="4" w:space="0"/>
              <w:right w:val="single" w:color="auto" w:sz="4" w:space="0"/>
            </w:tcBorders>
            <w:noWrap/>
            <w:vAlign w:val="center"/>
          </w:tcPr>
          <w:p w14:paraId="61233A32">
            <w:pPr>
              <w:rPr>
                <w:rFonts w:hint="eastAsia"/>
              </w:rPr>
            </w:pPr>
            <w:r>
              <w:rPr>
                <w:rFonts w:hint="eastAsia"/>
              </w:rPr>
              <w:t>传真</w:t>
            </w:r>
          </w:p>
        </w:tc>
        <w:tc>
          <w:tcPr>
            <w:tcW w:w="3080" w:type="dxa"/>
            <w:tcBorders>
              <w:top w:val="nil"/>
              <w:left w:val="nil"/>
              <w:bottom w:val="single" w:color="auto" w:sz="4" w:space="0"/>
              <w:right w:val="single" w:color="auto" w:sz="4" w:space="0"/>
            </w:tcBorders>
            <w:noWrap/>
            <w:vAlign w:val="center"/>
          </w:tcPr>
          <w:p w14:paraId="4B71A386">
            <w:pPr>
              <w:rPr>
                <w:rFonts w:hint="eastAsia"/>
              </w:rPr>
            </w:pPr>
            <w:r>
              <w:rPr>
                <w:rFonts w:hint="eastAsia"/>
              </w:rPr>
              <w:t>手机</w:t>
            </w:r>
          </w:p>
        </w:tc>
      </w:tr>
      <w:tr w14:paraId="281A7C9F">
        <w:tblPrEx>
          <w:tblCellMar>
            <w:top w:w="0" w:type="dxa"/>
            <w:left w:w="108" w:type="dxa"/>
            <w:bottom w:w="0" w:type="dxa"/>
            <w:right w:w="108" w:type="dxa"/>
          </w:tblCellMar>
        </w:tblPrEx>
        <w:trPr>
          <w:trHeight w:val="702" w:hRule="atLeast"/>
          <w:jc w:val="center"/>
        </w:trPr>
        <w:tc>
          <w:tcPr>
            <w:tcW w:w="680" w:type="dxa"/>
            <w:vMerge w:val="continue"/>
            <w:tcBorders>
              <w:top w:val="nil"/>
              <w:left w:val="single" w:color="auto" w:sz="4" w:space="0"/>
              <w:bottom w:val="single" w:color="auto" w:sz="4" w:space="0"/>
              <w:right w:val="single" w:color="auto" w:sz="4" w:space="0"/>
            </w:tcBorders>
            <w:noWrap/>
            <w:vAlign w:val="center"/>
          </w:tcPr>
          <w:p w14:paraId="4610437D">
            <w:pPr>
              <w:rPr>
                <w:rFonts w:hint="eastAsia"/>
              </w:rPr>
            </w:pPr>
          </w:p>
        </w:tc>
        <w:tc>
          <w:tcPr>
            <w:tcW w:w="1520" w:type="dxa"/>
            <w:vMerge w:val="continue"/>
            <w:tcBorders>
              <w:top w:val="nil"/>
              <w:left w:val="single" w:color="auto" w:sz="4" w:space="0"/>
              <w:bottom w:val="single" w:color="auto" w:sz="4" w:space="0"/>
              <w:right w:val="single" w:color="auto" w:sz="4" w:space="0"/>
            </w:tcBorders>
            <w:noWrap/>
            <w:vAlign w:val="center"/>
          </w:tcPr>
          <w:p w14:paraId="5C58F31D">
            <w:pPr>
              <w:rPr>
                <w:rFonts w:hint="eastAsia"/>
              </w:rPr>
            </w:pPr>
          </w:p>
        </w:tc>
        <w:tc>
          <w:tcPr>
            <w:tcW w:w="3080" w:type="dxa"/>
            <w:tcBorders>
              <w:top w:val="nil"/>
              <w:left w:val="nil"/>
              <w:bottom w:val="single" w:color="auto" w:sz="4" w:space="0"/>
              <w:right w:val="single" w:color="auto" w:sz="4" w:space="0"/>
            </w:tcBorders>
            <w:noWrap/>
            <w:vAlign w:val="center"/>
          </w:tcPr>
          <w:p w14:paraId="3391D4CB">
            <w:pPr>
              <w:rPr>
                <w:rFonts w:hint="eastAsia"/>
              </w:rPr>
            </w:pPr>
            <w:r>
              <w:rPr>
                <w:rFonts w:hint="eastAsia"/>
              </w:rPr>
              <w:t>　</w:t>
            </w:r>
          </w:p>
        </w:tc>
        <w:tc>
          <w:tcPr>
            <w:tcW w:w="3080" w:type="dxa"/>
            <w:tcBorders>
              <w:top w:val="nil"/>
              <w:left w:val="nil"/>
              <w:bottom w:val="single" w:color="auto" w:sz="4" w:space="0"/>
              <w:right w:val="single" w:color="auto" w:sz="4" w:space="0"/>
            </w:tcBorders>
            <w:noWrap/>
            <w:vAlign w:val="center"/>
          </w:tcPr>
          <w:p w14:paraId="31AB0B6B">
            <w:pPr>
              <w:rPr>
                <w:rFonts w:hint="eastAsia"/>
              </w:rPr>
            </w:pPr>
            <w:r>
              <w:rPr>
                <w:rFonts w:hint="eastAsia"/>
              </w:rPr>
              <w:t>　</w:t>
            </w:r>
          </w:p>
        </w:tc>
        <w:tc>
          <w:tcPr>
            <w:tcW w:w="3080" w:type="dxa"/>
            <w:tcBorders>
              <w:top w:val="nil"/>
              <w:left w:val="nil"/>
              <w:bottom w:val="single" w:color="auto" w:sz="4" w:space="0"/>
              <w:right w:val="single" w:color="auto" w:sz="4" w:space="0"/>
            </w:tcBorders>
            <w:noWrap/>
            <w:vAlign w:val="center"/>
          </w:tcPr>
          <w:p w14:paraId="3B7BC358">
            <w:pPr>
              <w:rPr>
                <w:rFonts w:hint="eastAsia"/>
              </w:rPr>
            </w:pPr>
            <w:r>
              <w:rPr>
                <w:rFonts w:hint="eastAsia"/>
              </w:rPr>
              <w:t>　</w:t>
            </w:r>
          </w:p>
        </w:tc>
        <w:tc>
          <w:tcPr>
            <w:tcW w:w="3080" w:type="dxa"/>
            <w:tcBorders>
              <w:top w:val="nil"/>
              <w:left w:val="nil"/>
              <w:bottom w:val="single" w:color="auto" w:sz="4" w:space="0"/>
              <w:right w:val="single" w:color="auto" w:sz="4" w:space="0"/>
            </w:tcBorders>
            <w:noWrap/>
            <w:vAlign w:val="center"/>
          </w:tcPr>
          <w:p w14:paraId="6825F9B9">
            <w:pPr>
              <w:rPr>
                <w:rFonts w:hint="eastAsia"/>
              </w:rPr>
            </w:pPr>
            <w:r>
              <w:rPr>
                <w:rFonts w:hint="eastAsia"/>
              </w:rPr>
              <w:t>　</w:t>
            </w:r>
          </w:p>
        </w:tc>
      </w:tr>
      <w:tr w14:paraId="338ED511">
        <w:tblPrEx>
          <w:tblCellMar>
            <w:top w:w="0" w:type="dxa"/>
            <w:left w:w="108" w:type="dxa"/>
            <w:bottom w:w="0" w:type="dxa"/>
            <w:right w:w="108" w:type="dxa"/>
          </w:tblCellMar>
        </w:tblPrEx>
        <w:trPr>
          <w:trHeight w:val="702" w:hRule="atLeast"/>
          <w:jc w:val="center"/>
        </w:trPr>
        <w:tc>
          <w:tcPr>
            <w:tcW w:w="680" w:type="dxa"/>
            <w:vMerge w:val="restart"/>
            <w:tcBorders>
              <w:top w:val="nil"/>
              <w:left w:val="single" w:color="auto" w:sz="4" w:space="0"/>
              <w:bottom w:val="single" w:color="auto" w:sz="4" w:space="0"/>
              <w:right w:val="single" w:color="auto" w:sz="4" w:space="0"/>
            </w:tcBorders>
            <w:noWrap/>
            <w:vAlign w:val="center"/>
          </w:tcPr>
          <w:p w14:paraId="3CFC3408">
            <w:pPr>
              <w:rPr>
                <w:rFonts w:hint="eastAsia"/>
              </w:rPr>
            </w:pPr>
            <w:r>
              <w:rPr>
                <w:rFonts w:hint="eastAsia"/>
              </w:rPr>
              <w:t>备注</w:t>
            </w:r>
          </w:p>
        </w:tc>
        <w:tc>
          <w:tcPr>
            <w:tcW w:w="13840" w:type="dxa"/>
            <w:gridSpan w:val="5"/>
            <w:tcBorders>
              <w:top w:val="nil"/>
              <w:left w:val="nil"/>
              <w:bottom w:val="nil"/>
              <w:right w:val="single" w:color="000000" w:sz="4" w:space="0"/>
            </w:tcBorders>
            <w:noWrap/>
            <w:vAlign w:val="center"/>
          </w:tcPr>
          <w:p w14:paraId="062CA4C1">
            <w:pPr>
              <w:rPr>
                <w:rFonts w:hint="eastAsia"/>
              </w:rPr>
            </w:pPr>
          </w:p>
        </w:tc>
      </w:tr>
      <w:tr w14:paraId="7372FDF4">
        <w:tblPrEx>
          <w:tblCellMar>
            <w:top w:w="0" w:type="dxa"/>
            <w:left w:w="108" w:type="dxa"/>
            <w:bottom w:w="0" w:type="dxa"/>
            <w:right w:w="108" w:type="dxa"/>
          </w:tblCellMar>
        </w:tblPrEx>
        <w:trPr>
          <w:trHeight w:val="473" w:hRule="atLeast"/>
          <w:jc w:val="center"/>
        </w:trPr>
        <w:tc>
          <w:tcPr>
            <w:tcW w:w="680" w:type="dxa"/>
            <w:vMerge w:val="continue"/>
            <w:tcBorders>
              <w:top w:val="nil"/>
              <w:left w:val="single" w:color="auto" w:sz="4" w:space="0"/>
              <w:bottom w:val="nil"/>
              <w:right w:val="single" w:color="auto" w:sz="4" w:space="0"/>
            </w:tcBorders>
            <w:noWrap/>
            <w:vAlign w:val="center"/>
          </w:tcPr>
          <w:p w14:paraId="5CFC5188">
            <w:pPr>
              <w:rPr>
                <w:rFonts w:hint="eastAsia"/>
              </w:rPr>
            </w:pPr>
          </w:p>
        </w:tc>
        <w:tc>
          <w:tcPr>
            <w:tcW w:w="13840" w:type="dxa"/>
            <w:gridSpan w:val="5"/>
            <w:tcBorders>
              <w:top w:val="nil"/>
              <w:left w:val="nil"/>
              <w:bottom w:val="nil"/>
              <w:right w:val="single" w:color="000000" w:sz="4" w:space="0"/>
            </w:tcBorders>
            <w:noWrap/>
            <w:vAlign w:val="center"/>
          </w:tcPr>
          <w:p w14:paraId="3B28715C">
            <w:pPr>
              <w:rPr>
                <w:rFonts w:hint="eastAsia"/>
              </w:rPr>
            </w:pPr>
          </w:p>
        </w:tc>
      </w:tr>
      <w:tr w14:paraId="5A6E8449">
        <w:tblPrEx>
          <w:tblCellMar>
            <w:top w:w="0" w:type="dxa"/>
            <w:left w:w="108" w:type="dxa"/>
            <w:bottom w:w="0" w:type="dxa"/>
            <w:right w:w="108" w:type="dxa"/>
          </w:tblCellMar>
        </w:tblPrEx>
        <w:trPr>
          <w:trHeight w:val="473" w:hRule="atLeast"/>
          <w:jc w:val="center"/>
        </w:trPr>
        <w:tc>
          <w:tcPr>
            <w:tcW w:w="680" w:type="dxa"/>
            <w:tcBorders>
              <w:top w:val="nil"/>
              <w:left w:val="single" w:color="auto" w:sz="4" w:space="0"/>
              <w:bottom w:val="single" w:color="auto" w:sz="4" w:space="0"/>
              <w:right w:val="single" w:color="auto" w:sz="4" w:space="0"/>
            </w:tcBorders>
            <w:noWrap/>
            <w:vAlign w:val="center"/>
          </w:tcPr>
          <w:p w14:paraId="5E446578">
            <w:pPr>
              <w:rPr>
                <w:rFonts w:hint="eastAsia"/>
              </w:rPr>
            </w:pPr>
          </w:p>
        </w:tc>
        <w:tc>
          <w:tcPr>
            <w:tcW w:w="13840" w:type="dxa"/>
            <w:gridSpan w:val="5"/>
            <w:tcBorders>
              <w:top w:val="nil"/>
              <w:left w:val="nil"/>
              <w:bottom w:val="single" w:color="auto" w:sz="4" w:space="0"/>
              <w:right w:val="single" w:color="000000" w:sz="4" w:space="0"/>
            </w:tcBorders>
            <w:noWrap/>
            <w:vAlign w:val="center"/>
          </w:tcPr>
          <w:p w14:paraId="335CC0D8">
            <w:pPr>
              <w:rPr>
                <w:rFonts w:hint="eastAsia"/>
              </w:rPr>
            </w:pPr>
          </w:p>
        </w:tc>
      </w:tr>
    </w:tbl>
    <w:p w14:paraId="470A06D7"/>
    <w:p w14:paraId="79FBD476"/>
    <w:p w14:paraId="2ED5D511"/>
    <w:sectPr>
      <w:pgSz w:w="16838" w:h="11906" w:orient="landscape"/>
      <w:pgMar w:top="1803" w:right="1440" w:bottom="1803"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3A2D5">
    <w:pPr>
      <w:pStyle w:val="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7020" cy="139700"/>
              <wp:effectExtent l="0" t="0" r="0" b="0"/>
              <wp:wrapNone/>
              <wp:docPr id="12" name="文本框 2"/>
              <wp:cNvGraphicFramePr/>
              <a:graphic xmlns:a="http://schemas.openxmlformats.org/drawingml/2006/main">
                <a:graphicData uri="http://schemas.microsoft.com/office/word/2010/wordprocessingShape">
                  <wps:wsp>
                    <wps:cNvSpPr txBox="1"/>
                    <wps:spPr>
                      <a:xfrm>
                        <a:off x="0" y="0"/>
                        <a:ext cx="287020" cy="139700"/>
                      </a:xfrm>
                      <a:prstGeom prst="rect">
                        <a:avLst/>
                      </a:prstGeom>
                      <a:noFill/>
                      <a:ln w="6350">
                        <a:noFill/>
                      </a:ln>
                      <a:effectLst/>
                    </wps:spPr>
                    <wps:txbx>
                      <w:txbxContent>
                        <w:p w14:paraId="55328AA6">
                          <w:pPr>
                            <w:pStyle w:val="3"/>
                            <w:ind w:firstLine="36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1pt;width:22.6pt;mso-position-horizontal:center;mso-position-horizontal-relative:margin;mso-wrap-style:none;z-index:251659264;mso-width-relative:page;mso-height-relative:page;" filled="f" stroked="f" coordsize="21600,21600" o:gfxdata="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VWoXjRAAAAAwEAAA8AAAAAAAAAAQAgAAAAIgAAAGRycy9kb3ducmV2LnhtbFBL&#10;AQIUABQAAAAIAIdO4kCGyO9iNgIAAGIEAAAOAAAAAAAAAAEAIAAAACABAABkcnMvZTJvRG9jLnht&#10;bFBLBQYAAAAABgAGAFkBAADIBQAAAAA=&#10;">
              <v:fill on="f" focussize="0,0"/>
              <v:stroke on="f" weight="0.5pt"/>
              <v:imagedata o:title=""/>
              <o:lock v:ext="edit" aspectratio="f"/>
              <v:textbox inset="0mm,0mm,0mm,0mm" style="mso-fit-shape-to-text:t;">
                <w:txbxContent>
                  <w:p w14:paraId="55328AA6">
                    <w:pPr>
                      <w:pStyle w:val="3"/>
                      <w:ind w:firstLine="36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71B35">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6E31E">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DB358">
    <w:pPr>
      <w:pStyle w:val="4"/>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3A7DD">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5EA2E">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4906FF"/>
    <w:rsid w:val="16F72C63"/>
    <w:rsid w:val="2A7B1B56"/>
    <w:rsid w:val="2E3C4EF9"/>
    <w:rsid w:val="332F7337"/>
    <w:rsid w:val="3D2E09AB"/>
    <w:rsid w:val="553E76CD"/>
    <w:rsid w:val="5A0C67EE"/>
    <w:rsid w:val="7C1458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9"/>
    <w:pPr>
      <w:keepNext/>
      <w:keepLines/>
      <w:spacing w:before="340" w:after="330" w:line="576"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4603</Words>
  <Characters>4938</Characters>
  <Lines>0</Lines>
  <Paragraphs>0</Paragraphs>
  <TotalTime>42</TotalTime>
  <ScaleCrop>false</ScaleCrop>
  <LinksUpToDate>false</LinksUpToDate>
  <CharactersWithSpaces>4981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2025-12-02T02:11:00Z</dcterms:created>
  <dc:creator>yxjl2</dc:creator>
  <cp:lastModifiedBy>WPS_1671122073</cp:lastModifiedBy>
  <dcterms:modified xsi:type="dcterms:W3CDTF">2025-12-03T04:37:12Z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eyJoZGlkIjoiNGU5YTk2NWU3OTRhNTU0YjZlNWE0ODExMjY4YzM0MTgiLCJ1c2VySWQiOiIxNDU3OTc3Mjc3In0=</vt:lpwstr>
  </property>
  <property fmtid="{D5CDD505-2E9C-101B-9397-08002B2CF9AE}" pid="4" name="ICV">
    <vt:lpwstr>7C74568A442841C0ABD58AAD4E392869_13</vt:lpwstr>
  </property>
</Properties>
</file>