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D3C3A">
      <w:pPr>
        <w:pStyle w:val="2"/>
        <w:spacing w:before="0" w:after="0" w:line="480" w:lineRule="auto"/>
        <w:jc w:val="center"/>
        <w:rPr>
          <w:rFonts w:hint="default" w:ascii="宋体" w:hAnsi="宋体" w:cs="宋体"/>
          <w:color w:val="auto"/>
          <w:kern w:val="13"/>
          <w:sz w:val="32"/>
          <w:szCs w:val="32"/>
          <w:highlight w:val="none"/>
          <w:lang w:val="en-US"/>
        </w:rPr>
      </w:pPr>
      <w:r>
        <w:rPr>
          <w:rFonts w:hint="eastAsia" w:ascii="宋体" w:hAnsi="宋体" w:cs="宋体"/>
          <w:color w:val="auto"/>
          <w:kern w:val="13"/>
          <w:sz w:val="32"/>
          <w:szCs w:val="32"/>
          <w:highlight w:val="none"/>
          <w:lang w:val="en-US" w:eastAsia="zh-CN"/>
        </w:rPr>
        <w:t>广州市白云山翠竹园项目全过程造价咨询服务</w:t>
      </w:r>
      <w:bookmarkStart w:id="1" w:name="_GoBack"/>
      <w:bookmarkEnd w:id="1"/>
      <w:r>
        <w:rPr>
          <w:rFonts w:hint="eastAsia" w:ascii="宋体" w:hAnsi="宋体" w:cs="宋体"/>
          <w:color w:val="auto"/>
          <w:kern w:val="13"/>
          <w:sz w:val="32"/>
          <w:szCs w:val="32"/>
          <w:highlight w:val="none"/>
          <w:lang w:val="en-US" w:eastAsia="zh-CN"/>
        </w:rPr>
        <w:t>采购公告</w:t>
      </w:r>
    </w:p>
    <w:p w14:paraId="12DC2190">
      <w:pPr>
        <w:numPr>
          <w:ilvl w:val="255"/>
          <w:numId w:val="0"/>
        </w:numPr>
        <w:spacing w:line="360" w:lineRule="auto"/>
        <w:ind w:left="0" w:leftChars="0" w:firstLine="420" w:firstLineChars="175"/>
        <w:jc w:val="both"/>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广州云山翠园商业运营管理有限公司（以下简称“采购方”）就以下采购项目进行公开采购，欢迎符合资格条件的供应商参与。</w:t>
      </w:r>
    </w:p>
    <w:p w14:paraId="22005666">
      <w:pPr>
        <w:numPr>
          <w:ilvl w:val="255"/>
          <w:numId w:val="0"/>
        </w:numPr>
        <w:spacing w:line="360" w:lineRule="auto"/>
        <w:ind w:firstLine="482" w:firstLineChars="200"/>
        <w:jc w:val="both"/>
        <w:rPr>
          <w:rFonts w:hint="default" w:cs="宋体" w:asciiTheme="minorEastAsia" w:hAnsiTheme="minorEastAsia" w:eastAsiaTheme="minorEastAsia"/>
          <w:b/>
          <w:bCs/>
          <w:color w:val="auto"/>
          <w:sz w:val="24"/>
          <w:szCs w:val="24"/>
          <w:highlight w:val="none"/>
          <w:lang w:val="en-US"/>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z w:val="24"/>
          <w:szCs w:val="24"/>
          <w:highlight w:val="none"/>
          <w:lang w:val="en-US" w:eastAsia="zh-CN"/>
        </w:rPr>
        <w:t>项目名称</w:t>
      </w:r>
    </w:p>
    <w:p w14:paraId="01FF4CAB">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广州市白云山翠竹园项目全过程造价咨询服务</w:t>
      </w:r>
    </w:p>
    <w:p w14:paraId="47CB41E8">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项目类别</w:t>
      </w:r>
    </w:p>
    <w:p w14:paraId="00862B75">
      <w:pPr>
        <w:numPr>
          <w:ilvl w:val="0"/>
          <w:numId w:val="0"/>
        </w:numPr>
        <w:spacing w:line="360" w:lineRule="auto"/>
        <w:ind w:left="0" w:leftChars="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w:t>
      </w:r>
      <w:r>
        <w:rPr>
          <w:rStyle w:val="7"/>
          <w:rFonts w:hint="eastAsia" w:cs="宋体" w:asciiTheme="minorEastAsia" w:hAnsiTheme="minorEastAsia" w:eastAsiaTheme="minorEastAsia"/>
          <w:color w:val="auto"/>
          <w:sz w:val="24"/>
          <w:szCs w:val="24"/>
          <w:highlight w:val="none"/>
        </w:rPr>
        <w:t>类</w:t>
      </w:r>
    </w:p>
    <w:p w14:paraId="17D7E184">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采购方式</w:t>
      </w:r>
    </w:p>
    <w:p w14:paraId="78A465C7">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招标</w:t>
      </w:r>
    </w:p>
    <w:p w14:paraId="365F2498">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采购内容</w:t>
      </w:r>
    </w:p>
    <w:p w14:paraId="0BA86F12">
      <w:pPr>
        <w:numPr>
          <w:ilvl w:val="255"/>
          <w:numId w:val="0"/>
        </w:numPr>
        <w:spacing w:line="360" w:lineRule="auto"/>
        <w:ind w:left="0" w:leftChars="0" w:firstLine="420" w:firstLineChars="175"/>
        <w:jc w:val="both"/>
        <w:rPr>
          <w:rFonts w:hint="eastAsia" w:ascii="宋体" w:hAnsi="宋体" w:cs="Arial"/>
          <w:sz w:val="24"/>
          <w:szCs w:val="24"/>
          <w:highlight w:val="none"/>
        </w:rPr>
      </w:pPr>
      <w:r>
        <w:rPr>
          <w:rFonts w:hint="eastAsia" w:ascii="宋体" w:hAnsi="宋体" w:cs="Arial"/>
          <w:sz w:val="24"/>
          <w:szCs w:val="24"/>
          <w:highlight w:val="none"/>
        </w:rPr>
        <w:t>项目概况：项目位于白云山明珠楼景区云翠南路6号、8号及10号，项目总面积 33481平方米。最大单体建筑面积：1930平方米，最大高度11.4m，最大跨度7.8m，主要改造内容是对主体建筑及其基础设施进行改造，包括但不限于：广场，停车场，屋顶，外立面，林地，树木位置等。该项目占地66.79亩，可再开发的总地块面积为33481平方米。现存地块被现状道路分割成4至5个独立区域，A区域包含映月楼（面积1000平方米）、朝晖楼（面积1624平方米）及楼间空地（面积2275平方米）。B区包含一片2800平方米的草地及4206平方米的林地。C区包含综合楼（面积1930平方米）及一块249平方米的空地。D区由1500平方米草地和3892平方米林间绿地组成，E区由2164平方米空地及5675平方米林地及另一块1875平方米林地组成，项目总投资4658 万元。</w:t>
      </w:r>
    </w:p>
    <w:p w14:paraId="34BD3444">
      <w:pPr>
        <w:numPr>
          <w:ilvl w:val="255"/>
          <w:numId w:val="0"/>
        </w:numPr>
        <w:spacing w:line="360" w:lineRule="auto"/>
        <w:ind w:left="0" w:leftChars="0" w:firstLine="420" w:firstLineChars="175"/>
        <w:jc w:val="both"/>
        <w:rPr>
          <w:rFonts w:hint="eastAsia" w:cs="宋体" w:asciiTheme="minorEastAsia" w:hAnsiTheme="minorEastAsia" w:eastAsiaTheme="minorEastAsia"/>
          <w:color w:val="auto"/>
          <w:sz w:val="24"/>
          <w:szCs w:val="24"/>
          <w:highlight w:val="none"/>
          <w:lang w:eastAsia="zh-CN"/>
        </w:rPr>
      </w:pPr>
      <w:r>
        <w:rPr>
          <w:rFonts w:hint="eastAsia" w:ascii="宋体" w:hAnsi="宋体" w:cs="Arial"/>
          <w:sz w:val="24"/>
          <w:szCs w:val="24"/>
          <w:highlight w:val="none"/>
        </w:rPr>
        <w:t>服务范围包括但不限于：</w:t>
      </w:r>
      <w:r>
        <w:rPr>
          <w:rFonts w:hint="eastAsia" w:cs="宋体" w:asciiTheme="minorEastAsia" w:hAnsiTheme="minorEastAsia" w:eastAsiaTheme="minorEastAsia"/>
          <w:color w:val="auto"/>
          <w:sz w:val="24"/>
          <w:szCs w:val="24"/>
          <w:highlight w:val="none"/>
          <w:lang w:eastAsia="zh-CN"/>
        </w:rPr>
        <w:t>全过程造价咨询服务，包括（但不限于）设计阶段、招标阶段、施工阶段、结（决）算阶段全过程工程造价咨询服务、投资控制工作，每个阶段</w:t>
      </w:r>
      <w:r>
        <w:rPr>
          <w:rFonts w:hint="eastAsia" w:cs="宋体" w:asciiTheme="minorEastAsia" w:hAnsiTheme="minorEastAsia" w:eastAsiaTheme="minorEastAsia"/>
          <w:color w:val="auto"/>
          <w:sz w:val="24"/>
          <w:szCs w:val="24"/>
          <w:highlight w:val="none"/>
          <w:lang w:val="en-US" w:eastAsia="zh-CN"/>
        </w:rPr>
        <w:t>详</w:t>
      </w:r>
      <w:r>
        <w:rPr>
          <w:rFonts w:hint="eastAsia" w:cs="宋体" w:asciiTheme="minorEastAsia" w:hAnsiTheme="minorEastAsia" w:eastAsiaTheme="minorEastAsia"/>
          <w:color w:val="auto"/>
          <w:sz w:val="24"/>
          <w:szCs w:val="24"/>
          <w:highlight w:val="none"/>
          <w:lang w:eastAsia="zh-CN"/>
        </w:rPr>
        <w:t>见</w:t>
      </w:r>
      <w:r>
        <w:rPr>
          <w:rFonts w:hint="eastAsia" w:cs="宋体" w:asciiTheme="minorEastAsia" w:hAnsiTheme="minorEastAsia" w:eastAsiaTheme="minorEastAsia"/>
          <w:color w:val="auto"/>
          <w:sz w:val="24"/>
          <w:szCs w:val="24"/>
          <w:highlight w:val="none"/>
          <w:lang w:val="en-US" w:eastAsia="zh-CN"/>
        </w:rPr>
        <w:t>招标文件</w:t>
      </w:r>
      <w:r>
        <w:rPr>
          <w:rFonts w:hint="eastAsia" w:cs="宋体" w:asciiTheme="minorEastAsia" w:hAnsiTheme="minorEastAsia" w:eastAsiaTheme="minorEastAsia"/>
          <w:color w:val="auto"/>
          <w:sz w:val="24"/>
          <w:szCs w:val="24"/>
          <w:highlight w:val="none"/>
          <w:lang w:eastAsia="zh-CN"/>
        </w:rPr>
        <w:t>第三章委托人要求。</w:t>
      </w:r>
    </w:p>
    <w:p w14:paraId="2DF2634C">
      <w:pPr>
        <w:numPr>
          <w:ilvl w:val="255"/>
          <w:numId w:val="0"/>
        </w:numPr>
        <w:spacing w:line="360" w:lineRule="auto"/>
        <w:ind w:left="0" w:leftChars="0" w:firstLine="420" w:firstLineChars="175"/>
        <w:jc w:val="both"/>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服务期限：</w:t>
      </w:r>
      <w:bookmarkStart w:id="0" w:name="OLE_LINK6"/>
      <w:r>
        <w:rPr>
          <w:rFonts w:hint="eastAsia" w:cs="宋体" w:asciiTheme="minorEastAsia" w:hAnsiTheme="minorEastAsia" w:eastAsiaTheme="minorEastAsia"/>
          <w:color w:val="auto"/>
          <w:sz w:val="24"/>
          <w:szCs w:val="24"/>
          <w:highlight w:val="none"/>
          <w:lang w:eastAsia="zh-CN"/>
        </w:rPr>
        <w:t>本合同服务期限自收到采购方书面通知开始之日起至本合同约定造价咨询服务工作全部完成时止。采购方根据实际情况，有权对本合同服务期限进行适当调整</w:t>
      </w:r>
      <w:bookmarkEnd w:id="0"/>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中标人</w:t>
      </w:r>
      <w:r>
        <w:rPr>
          <w:rFonts w:hint="eastAsia" w:cs="宋体" w:asciiTheme="minorEastAsia" w:hAnsiTheme="minorEastAsia" w:eastAsiaTheme="minorEastAsia"/>
          <w:color w:val="auto"/>
          <w:sz w:val="24"/>
          <w:szCs w:val="24"/>
          <w:highlight w:val="none"/>
          <w:lang w:eastAsia="zh-CN"/>
        </w:rPr>
        <w:t>对此无异议且相关费用（如有）均已包含服务报酬中，不再另行计付费用。</w:t>
      </w:r>
    </w:p>
    <w:p w14:paraId="0D5B327B">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采购控制价</w:t>
      </w:r>
    </w:p>
    <w:p w14:paraId="14BAAC5E">
      <w:pPr>
        <w:numPr>
          <w:ilvl w:val="255"/>
          <w:numId w:val="0"/>
        </w:numPr>
        <w:spacing w:line="360" w:lineRule="auto"/>
        <w:ind w:left="0" w:leftChars="0" w:firstLine="420" w:firstLineChars="175"/>
        <w:jc w:val="both"/>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eastAsia="zh-CN"/>
        </w:rPr>
        <w:t>最高投标限价（即招标控制价）：</w:t>
      </w:r>
      <w:r>
        <w:rPr>
          <w:rFonts w:hint="eastAsia" w:cs="宋体" w:asciiTheme="minorEastAsia" w:hAnsiTheme="minorEastAsia" w:eastAsiaTheme="minorEastAsia"/>
          <w:color w:val="auto"/>
          <w:sz w:val="24"/>
          <w:szCs w:val="24"/>
          <w:highlight w:val="none"/>
          <w:lang w:val="en-US" w:eastAsia="zh-CN"/>
        </w:rPr>
        <w:t>43.52万元。</w:t>
      </w:r>
    </w:p>
    <w:p w14:paraId="41C92953">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投标人（供应商）（供应商）资格条件</w:t>
      </w:r>
    </w:p>
    <w:p w14:paraId="2C4A360F">
      <w:pPr>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投标人（供应商）</w:t>
      </w:r>
      <w:r>
        <w:rPr>
          <w:rFonts w:hint="eastAsia" w:ascii="宋体" w:hAnsi="宋体"/>
          <w:color w:val="auto"/>
          <w:sz w:val="24"/>
          <w:szCs w:val="24"/>
          <w:highlight w:val="none"/>
        </w:rPr>
        <w:t>具有独立承担民事责任的能力：依据《投标函》及以下相关证照的复印件之一：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企业法人提供企业法人营业执照；</w:t>
      </w:r>
      <w:r>
        <w:rPr>
          <w:rFonts w:hint="eastAsia" w:ascii="宋体" w:hAnsi="宋体"/>
          <w:color w:val="auto"/>
          <w:sz w:val="24"/>
          <w:szCs w:val="24"/>
          <w:highlight w:val="none"/>
          <w:lang w:eastAsia="zh-CN"/>
        </w:rPr>
        <w:t>（</w:t>
      </w: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事业法人提供事业法人登记证；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其他组织提供其他组织的营业执照或执业许可证。</w:t>
      </w:r>
    </w:p>
    <w:p w14:paraId="1A7AB6D9">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投标人（供应商）</w:t>
      </w:r>
      <w:r>
        <w:rPr>
          <w:rFonts w:hint="eastAsia" w:ascii="宋体" w:hAnsi="宋体"/>
          <w:color w:val="auto"/>
          <w:sz w:val="24"/>
          <w:szCs w:val="24"/>
          <w:highlight w:val="none"/>
        </w:rPr>
        <w:t>有依法缴纳税收和社会保障资金的良好记录：依据《投标函》。</w:t>
      </w:r>
    </w:p>
    <w:p w14:paraId="50BFAA13">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投标人（供应商）</w:t>
      </w:r>
      <w:r>
        <w:rPr>
          <w:rFonts w:hint="eastAsia" w:ascii="宋体" w:hAnsi="宋体"/>
          <w:color w:val="auto"/>
          <w:sz w:val="24"/>
          <w:szCs w:val="24"/>
          <w:highlight w:val="none"/>
        </w:rPr>
        <w:t>具有良好的商业信誉和健全的财务会计制度：依据《投标函》。</w:t>
      </w:r>
    </w:p>
    <w:p w14:paraId="73D90557">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投标人（供应商）</w:t>
      </w:r>
      <w:r>
        <w:rPr>
          <w:rFonts w:hint="eastAsia" w:ascii="宋体" w:hAnsi="宋体"/>
          <w:color w:val="auto"/>
          <w:sz w:val="24"/>
          <w:szCs w:val="24"/>
          <w:highlight w:val="none"/>
        </w:rPr>
        <w:t>具有履行合同所必需的设备和专业技术能力：依据《投标函》。</w:t>
      </w:r>
    </w:p>
    <w:p w14:paraId="68C52F74">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投标人（供应商）</w:t>
      </w:r>
      <w:r>
        <w:rPr>
          <w:rFonts w:hint="eastAsia" w:ascii="宋体" w:hAnsi="宋体"/>
          <w:color w:val="auto"/>
          <w:sz w:val="24"/>
          <w:szCs w:val="24"/>
          <w:highlight w:val="none"/>
        </w:rPr>
        <w:t>参加招投标活动前3年内，在经营活动中没有重大违法记录：依据《投标函》。</w:t>
      </w:r>
    </w:p>
    <w:p w14:paraId="75E3B426">
      <w:pPr>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6.本项目不属于专门面向中小微企业招标的项目。</w:t>
      </w:r>
    </w:p>
    <w:p w14:paraId="2C83A2B1">
      <w:pPr>
        <w:adjustRightInd w:val="0"/>
        <w:snapToGrid w:val="0"/>
        <w:spacing w:line="360" w:lineRule="auto"/>
        <w:ind w:firstLine="480" w:firstLineChars="200"/>
        <w:jc w:val="left"/>
        <w:rPr>
          <w:rFonts w:hint="default" w:ascii="宋体" w:hAnsi="宋体" w:eastAsia="宋体"/>
          <w:sz w:val="24"/>
          <w:highlight w:val="none"/>
          <w:u w:val="none"/>
          <w:lang w:val="en-US" w:eastAsia="zh-CN"/>
        </w:rPr>
      </w:pPr>
      <w:r>
        <w:rPr>
          <w:rFonts w:hint="eastAsia" w:ascii="宋体" w:hAnsi="宋体"/>
          <w:color w:val="auto"/>
          <w:sz w:val="24"/>
          <w:szCs w:val="24"/>
          <w:highlight w:val="none"/>
          <w:lang w:val="en-US" w:eastAsia="zh-CN"/>
        </w:rPr>
        <w:t>7.投标人（供应商）拟派</w:t>
      </w:r>
      <w:r>
        <w:rPr>
          <w:rFonts w:hint="eastAsia" w:ascii="宋体" w:hAnsi="宋体"/>
          <w:b/>
          <w:bCs/>
          <w:color w:val="auto"/>
          <w:sz w:val="24"/>
          <w:szCs w:val="24"/>
          <w:highlight w:val="none"/>
          <w:lang w:val="en-US" w:eastAsia="zh-CN"/>
        </w:rPr>
        <w:t>项目负责人</w:t>
      </w:r>
      <w:r>
        <w:rPr>
          <w:rFonts w:hint="eastAsia" w:ascii="宋体" w:hAnsi="宋体"/>
          <w:color w:val="auto"/>
          <w:sz w:val="24"/>
          <w:szCs w:val="24"/>
          <w:highlight w:val="none"/>
          <w:lang w:val="en-US" w:eastAsia="zh-CN"/>
        </w:rPr>
        <w:t>须具备有效的</w:t>
      </w:r>
      <w:r>
        <w:rPr>
          <w:rFonts w:hint="eastAsia" w:ascii="宋体" w:hAnsi="宋体"/>
          <w:b/>
          <w:bCs/>
          <w:color w:val="auto"/>
          <w:sz w:val="24"/>
          <w:szCs w:val="24"/>
          <w:highlight w:val="none"/>
          <w:lang w:val="en-US" w:eastAsia="zh-CN"/>
        </w:rPr>
        <w:t>一级注册造价工程师</w:t>
      </w:r>
      <w:r>
        <w:rPr>
          <w:rFonts w:hint="eastAsia" w:ascii="宋体" w:hAnsi="宋体"/>
          <w:sz w:val="24"/>
          <w:highlight w:val="none"/>
          <w:u w:val="none"/>
        </w:rPr>
        <w:t>（土木建筑工程或安装工程专业），且在本单位注册。</w:t>
      </w:r>
      <w:r>
        <w:rPr>
          <w:rFonts w:hint="eastAsia" w:ascii="宋体" w:hAnsi="宋体"/>
          <w:sz w:val="24"/>
          <w:highlight w:val="none"/>
          <w:u w:val="none"/>
          <w:lang w:val="en-US" w:eastAsia="zh-CN"/>
        </w:rPr>
        <w:t>提供注册证及投标截止之日6个月内任意一个月在本单位购买的社会保险证明文件复印件。</w:t>
      </w:r>
    </w:p>
    <w:p w14:paraId="3A866556">
      <w:pPr>
        <w:adjustRightInd w:val="0"/>
        <w:snapToGrid w:val="0"/>
        <w:spacing w:line="360" w:lineRule="auto"/>
        <w:ind w:firstLine="480" w:firstLineChars="200"/>
        <w:jc w:val="left"/>
        <w:rPr>
          <w:rFonts w:hint="eastAsia" w:ascii="宋体" w:hAnsi="宋体"/>
          <w:sz w:val="24"/>
          <w:highlight w:val="none"/>
          <w:u w:val="none"/>
        </w:rPr>
      </w:pPr>
      <w:r>
        <w:rPr>
          <w:rFonts w:hint="eastAsia" w:ascii="宋体" w:hAnsi="宋体"/>
          <w:sz w:val="24"/>
          <w:highlight w:val="none"/>
          <w:u w:val="none"/>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7F0AA238">
      <w:pPr>
        <w:adjustRightInd w:val="0"/>
        <w:snapToGrid w:val="0"/>
        <w:spacing w:line="360" w:lineRule="auto"/>
        <w:ind w:firstLine="480" w:firstLineChars="200"/>
        <w:jc w:val="left"/>
        <w:rPr>
          <w:rFonts w:hint="default" w:ascii="宋体" w:hAnsi="宋体"/>
          <w:sz w:val="24"/>
          <w:highlight w:val="none"/>
          <w:u w:val="none"/>
          <w:lang w:val="en-US" w:eastAsia="zh-CN"/>
        </w:rPr>
      </w:pPr>
      <w:r>
        <w:rPr>
          <w:rFonts w:hint="eastAsia" w:ascii="宋体" w:hAnsi="宋体"/>
          <w:sz w:val="24"/>
          <w:highlight w:val="none"/>
          <w:u w:val="none"/>
          <w:lang w:val="en-US" w:eastAsia="zh-CN"/>
        </w:rPr>
        <w:t>8</w:t>
      </w:r>
      <w:r>
        <w:rPr>
          <w:rFonts w:hint="default" w:ascii="宋体" w:hAnsi="宋体"/>
          <w:sz w:val="24"/>
          <w:highlight w:val="none"/>
          <w:u w:val="none"/>
          <w:lang w:val="en-US" w:eastAsia="zh-CN"/>
        </w:rPr>
        <w:t>.本项目不接受联合体投标。</w:t>
      </w:r>
    </w:p>
    <w:p w14:paraId="6F508C2B">
      <w:pPr>
        <w:adjustRightInd w:val="0"/>
        <w:snapToGrid w:val="0"/>
        <w:spacing w:line="360" w:lineRule="auto"/>
        <w:ind w:firstLine="480" w:firstLineChars="200"/>
        <w:jc w:val="left"/>
        <w:rPr>
          <w:rFonts w:hint="default" w:ascii="宋体" w:hAnsi="宋体"/>
          <w:sz w:val="24"/>
          <w:highlight w:val="none"/>
          <w:u w:val="none"/>
          <w:lang w:val="en-US" w:eastAsia="zh-CN"/>
        </w:rPr>
      </w:pPr>
      <w:r>
        <w:rPr>
          <w:rFonts w:hint="eastAsia" w:ascii="宋体" w:hAnsi="宋体"/>
          <w:sz w:val="24"/>
          <w:highlight w:val="none"/>
          <w:u w:val="none"/>
          <w:lang w:val="en-US" w:eastAsia="zh-CN"/>
        </w:rPr>
        <w:t>9</w:t>
      </w:r>
      <w:r>
        <w:rPr>
          <w:rFonts w:hint="default" w:ascii="宋体" w:hAnsi="宋体"/>
          <w:sz w:val="24"/>
          <w:highlight w:val="none"/>
          <w:u w:val="none"/>
          <w:lang w:val="en-US" w:eastAsia="zh-CN"/>
        </w:rPr>
        <w:t>.</w:t>
      </w:r>
      <w:r>
        <w:rPr>
          <w:rFonts w:hint="eastAsia" w:ascii="宋体" w:hAnsi="宋体"/>
          <w:sz w:val="24"/>
          <w:highlight w:val="none"/>
          <w:u w:val="none"/>
          <w:lang w:val="en-US" w:eastAsia="zh-CN"/>
        </w:rPr>
        <w:t>投标人（供应商）</w:t>
      </w:r>
      <w:r>
        <w:rPr>
          <w:rFonts w:hint="default" w:ascii="宋体" w:hAnsi="宋体"/>
          <w:sz w:val="24"/>
          <w:highlight w:val="none"/>
          <w:u w:val="none"/>
          <w:lang w:val="en-US" w:eastAsia="zh-CN"/>
        </w:rPr>
        <w:t>未被列入“信用中国”网站中“记录失信被执行人或重大税收违法失信主体或政府采购严重违法失信行为”的记录名单，如在上述网站查询结果均显示没有相关记录，视为没有上述不良信用记录。（以资格审查人员于投标（响应）截止时间当天在“信用中国”网站（www.creditchina.gov.cn）查询结果为准，如相关失信记录已失效，供应商需提供相关证明资料）。</w:t>
      </w:r>
    </w:p>
    <w:p w14:paraId="54BA509E">
      <w:pPr>
        <w:adjustRightInd w:val="0"/>
        <w:snapToGrid w:val="0"/>
        <w:spacing w:line="360" w:lineRule="auto"/>
        <w:ind w:firstLine="480" w:firstLineChars="200"/>
        <w:jc w:val="left"/>
        <w:rPr>
          <w:rFonts w:hint="default" w:ascii="宋体" w:hAnsi="宋体"/>
          <w:sz w:val="24"/>
          <w:highlight w:val="none"/>
          <w:u w:val="none"/>
          <w:lang w:val="en-US" w:eastAsia="zh-CN"/>
        </w:rPr>
      </w:pPr>
      <w:r>
        <w:rPr>
          <w:rFonts w:hint="eastAsia" w:ascii="宋体" w:hAnsi="宋体"/>
          <w:sz w:val="24"/>
          <w:highlight w:val="none"/>
          <w:u w:val="none"/>
          <w:lang w:val="en-US" w:eastAsia="zh-CN"/>
        </w:rPr>
        <w:t>10</w:t>
      </w:r>
      <w:r>
        <w:rPr>
          <w:rFonts w:hint="default" w:ascii="宋体" w:hAnsi="宋体"/>
          <w:sz w:val="24"/>
          <w:highlight w:val="none"/>
          <w:u w:val="none"/>
          <w:lang w:val="en-US" w:eastAsia="zh-CN"/>
        </w:rPr>
        <w:t>.</w:t>
      </w:r>
      <w:r>
        <w:rPr>
          <w:rFonts w:hint="eastAsia" w:ascii="宋体" w:hAnsi="宋体"/>
          <w:sz w:val="24"/>
          <w:highlight w:val="none"/>
          <w:u w:val="none"/>
          <w:lang w:val="en-US" w:eastAsia="zh-CN"/>
        </w:rPr>
        <w:t>投标人（供应商）</w:t>
      </w:r>
      <w:r>
        <w:rPr>
          <w:rFonts w:hint="default" w:ascii="宋体" w:hAnsi="宋体"/>
          <w:sz w:val="24"/>
          <w:highlight w:val="none"/>
          <w:u w:val="none"/>
          <w:lang w:val="en-US" w:eastAsia="zh-CN"/>
        </w:rPr>
        <w:t>必须符合法律、行政法规规定的其他条件：依据《投标函》。</w:t>
      </w:r>
    </w:p>
    <w:p w14:paraId="300D201A">
      <w:pPr>
        <w:adjustRightInd w:val="0"/>
        <w:snapToGrid w:val="0"/>
        <w:spacing w:line="360" w:lineRule="auto"/>
        <w:ind w:firstLine="480" w:firstLineChars="200"/>
        <w:jc w:val="left"/>
        <w:rPr>
          <w:rFonts w:hint="default" w:ascii="宋体" w:hAnsi="宋体"/>
          <w:sz w:val="24"/>
          <w:highlight w:val="none"/>
          <w:u w:val="none"/>
          <w:lang w:val="en-US" w:eastAsia="zh-CN"/>
        </w:rPr>
      </w:pPr>
      <w:r>
        <w:rPr>
          <w:rFonts w:hint="eastAsia" w:ascii="宋体" w:hAnsi="宋体"/>
          <w:sz w:val="24"/>
          <w:highlight w:val="none"/>
          <w:u w:val="none"/>
          <w:lang w:val="en-US" w:eastAsia="zh-CN"/>
        </w:rPr>
        <w:t>11</w:t>
      </w:r>
      <w:r>
        <w:rPr>
          <w:rFonts w:hint="default" w:ascii="宋体" w:hAnsi="宋体"/>
          <w:sz w:val="24"/>
          <w:highlight w:val="none"/>
          <w:u w:val="none"/>
          <w:lang w:val="en-US" w:eastAsia="zh-CN"/>
        </w:rPr>
        <w:t>.单位负责人为同一人或者存在直接控股、管理关系的不同</w:t>
      </w:r>
      <w:r>
        <w:rPr>
          <w:rFonts w:hint="eastAsia" w:ascii="宋体" w:hAnsi="宋体"/>
          <w:sz w:val="24"/>
          <w:highlight w:val="none"/>
          <w:u w:val="none"/>
          <w:lang w:val="en-US" w:eastAsia="zh-CN"/>
        </w:rPr>
        <w:t>投标人（供应商）</w:t>
      </w:r>
      <w:r>
        <w:rPr>
          <w:rFonts w:hint="default" w:ascii="宋体" w:hAnsi="宋体"/>
          <w:sz w:val="24"/>
          <w:highlight w:val="none"/>
          <w:u w:val="none"/>
          <w:lang w:val="en-US" w:eastAsia="zh-CN"/>
        </w:rPr>
        <w:t>，不得同时参加本招标项目投标。为本项目提供规范编制或者项目管理、监理、检测等服务的</w:t>
      </w:r>
      <w:r>
        <w:rPr>
          <w:rFonts w:hint="eastAsia" w:ascii="宋体" w:hAnsi="宋体"/>
          <w:sz w:val="24"/>
          <w:highlight w:val="none"/>
          <w:u w:val="none"/>
          <w:lang w:val="en-US" w:eastAsia="zh-CN"/>
        </w:rPr>
        <w:t>投标人（供应商）</w:t>
      </w:r>
      <w:r>
        <w:rPr>
          <w:rFonts w:hint="default" w:ascii="宋体" w:hAnsi="宋体"/>
          <w:sz w:val="24"/>
          <w:highlight w:val="none"/>
          <w:u w:val="none"/>
          <w:lang w:val="en-US" w:eastAsia="zh-CN"/>
        </w:rPr>
        <w:t>，不得再参与本项目投标。依据提供《投标函》。</w:t>
      </w:r>
    </w:p>
    <w:p w14:paraId="1F2C3806">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公告开始时间</w:t>
      </w:r>
    </w:p>
    <w:p w14:paraId="20FF42E9">
      <w:pPr>
        <w:adjustRightInd w:val="0"/>
        <w:snapToGrid w:val="0"/>
        <w:spacing w:line="360" w:lineRule="auto"/>
        <w:ind w:firstLine="482" w:firstLineChars="200"/>
        <w:jc w:val="left"/>
        <w:rPr>
          <w:rFonts w:hint="default" w:cs="宋体" w:asciiTheme="minorEastAsia" w:hAnsiTheme="minorEastAsia" w:eastAsiaTheme="minorEastAsia"/>
          <w:b/>
          <w:bCs/>
          <w:color w:val="auto"/>
          <w:sz w:val="24"/>
          <w:szCs w:val="24"/>
          <w:highlight w:val="none"/>
          <w:lang w:val="en-US" w:eastAsia="zh-CN"/>
        </w:rPr>
      </w:pPr>
      <w:r>
        <w:rPr>
          <w:rFonts w:hint="eastAsia" w:cs="宋体" w:asciiTheme="minorEastAsia" w:hAnsiTheme="minorEastAsia" w:eastAsiaTheme="minorEastAsia"/>
          <w:b/>
          <w:bCs/>
          <w:color w:val="auto"/>
          <w:sz w:val="24"/>
          <w:szCs w:val="24"/>
          <w:highlight w:val="none"/>
          <w:lang w:val="en-US" w:eastAsia="zh-CN"/>
        </w:rPr>
        <w:t>2025年 5 月 30 日</w:t>
      </w:r>
    </w:p>
    <w:p w14:paraId="4CBC303D">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公告结束时间</w:t>
      </w:r>
    </w:p>
    <w:p w14:paraId="6B3ABFB2">
      <w:pPr>
        <w:adjustRightInd w:val="0"/>
        <w:snapToGrid w:val="0"/>
        <w:spacing w:line="360" w:lineRule="auto"/>
        <w:ind w:firstLine="482" w:firstLineChars="20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2025年 6 月 10 日</w:t>
      </w:r>
    </w:p>
    <w:p w14:paraId="4750FA3F">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采购文件领取地址</w:t>
      </w:r>
    </w:p>
    <w:p w14:paraId="6101D75D">
      <w:pPr>
        <w:adjustRightInd w:val="0"/>
        <w:snapToGrid w:val="0"/>
        <w:spacing w:line="360" w:lineRule="auto"/>
        <w:ind w:firstLine="480" w:firstLineChars="200"/>
        <w:jc w:val="left"/>
        <w:rPr>
          <w:rFonts w:hint="default" w:cs="宋体" w:asciiTheme="minorEastAsia" w:hAnsiTheme="minorEastAsia" w:eastAsiaTheme="minorEastAsia"/>
          <w:b w:val="0"/>
          <w:bCs w:val="0"/>
          <w:color w:val="auto"/>
          <w:sz w:val="24"/>
          <w:szCs w:val="24"/>
          <w:highlight w:val="none"/>
          <w:lang w:val="en-US" w:eastAsia="zh-CN"/>
        </w:rPr>
      </w:pPr>
      <w:r>
        <w:rPr>
          <w:rFonts w:hint="eastAsia" w:cs="宋体" w:asciiTheme="minorEastAsia" w:hAnsiTheme="minorEastAsia" w:eastAsiaTheme="minorEastAsia"/>
          <w:b w:val="0"/>
          <w:bCs w:val="0"/>
          <w:color w:val="auto"/>
          <w:sz w:val="24"/>
          <w:szCs w:val="24"/>
          <w:highlight w:val="none"/>
        </w:rPr>
        <w:t>符合</w:t>
      </w:r>
      <w:r>
        <w:rPr>
          <w:rFonts w:hint="eastAsia" w:cs="宋体" w:asciiTheme="minorEastAsia" w:hAnsiTheme="minorEastAsia" w:eastAsiaTheme="minorEastAsia"/>
          <w:b w:val="0"/>
          <w:bCs w:val="0"/>
          <w:color w:val="auto"/>
          <w:sz w:val="24"/>
          <w:szCs w:val="24"/>
          <w:highlight w:val="none"/>
          <w:lang w:eastAsia="zh-CN"/>
        </w:rPr>
        <w:t>投标人（供应商）</w:t>
      </w:r>
      <w:r>
        <w:rPr>
          <w:rFonts w:hint="eastAsia" w:cs="宋体" w:asciiTheme="minorEastAsia" w:hAnsiTheme="minorEastAsia" w:eastAsiaTheme="minorEastAsia"/>
          <w:b w:val="0"/>
          <w:bCs w:val="0"/>
          <w:color w:val="auto"/>
          <w:sz w:val="24"/>
          <w:szCs w:val="24"/>
          <w:highlight w:val="none"/>
        </w:rPr>
        <w:t>资格要求的</w:t>
      </w:r>
      <w:r>
        <w:rPr>
          <w:rFonts w:hint="eastAsia" w:cs="宋体" w:asciiTheme="minorEastAsia" w:hAnsiTheme="minorEastAsia" w:eastAsiaTheme="minorEastAsia"/>
          <w:b w:val="0"/>
          <w:bCs w:val="0"/>
          <w:color w:val="auto"/>
          <w:sz w:val="24"/>
          <w:szCs w:val="24"/>
          <w:highlight w:val="none"/>
          <w:lang w:eastAsia="zh-CN"/>
        </w:rPr>
        <w:t>投标人（供应商）</w:t>
      </w:r>
      <w:r>
        <w:rPr>
          <w:rFonts w:hint="eastAsia" w:cs="宋体" w:asciiTheme="minorEastAsia" w:hAnsiTheme="minorEastAsia" w:eastAsiaTheme="minorEastAsia"/>
          <w:b w:val="0"/>
          <w:bCs w:val="0"/>
          <w:color w:val="auto"/>
          <w:sz w:val="24"/>
          <w:szCs w:val="24"/>
          <w:highlight w:val="none"/>
        </w:rPr>
        <w:t>应当在“招标文件的获取及投标登记”规定时间内，将获取招标文件的资料加盖公章后扫描发至83225943@qq.com邮箱，资料发送后</w:t>
      </w:r>
      <w:r>
        <w:rPr>
          <w:rFonts w:hint="eastAsia" w:cs="宋体" w:asciiTheme="minorEastAsia" w:hAnsiTheme="minorEastAsia" w:eastAsiaTheme="minorEastAsia"/>
          <w:b w:val="0"/>
          <w:bCs w:val="0"/>
          <w:color w:val="auto"/>
          <w:sz w:val="24"/>
          <w:szCs w:val="24"/>
          <w:highlight w:val="none"/>
          <w:lang w:eastAsia="zh-CN"/>
        </w:rPr>
        <w:t>投标人（供应商）</w:t>
      </w:r>
      <w:r>
        <w:rPr>
          <w:rFonts w:hint="eastAsia" w:cs="宋体" w:asciiTheme="minorEastAsia" w:hAnsiTheme="minorEastAsia" w:eastAsiaTheme="minorEastAsia"/>
          <w:b w:val="0"/>
          <w:bCs w:val="0"/>
          <w:color w:val="auto"/>
          <w:sz w:val="24"/>
          <w:szCs w:val="24"/>
          <w:highlight w:val="none"/>
        </w:rPr>
        <w:t>应电话通知招标代理（电话020-83851835）</w:t>
      </w:r>
      <w:r>
        <w:rPr>
          <w:rFonts w:hint="eastAsia" w:cs="宋体" w:asciiTheme="minorEastAsia" w:hAnsiTheme="minorEastAsia" w:eastAsiaTheme="minorEastAsia"/>
          <w:b w:val="0"/>
          <w:bCs w:val="0"/>
          <w:color w:val="auto"/>
          <w:sz w:val="24"/>
          <w:szCs w:val="24"/>
          <w:highlight w:val="none"/>
          <w:lang w:eastAsia="zh-CN"/>
        </w:rPr>
        <w:t>，</w:t>
      </w:r>
      <w:r>
        <w:rPr>
          <w:rFonts w:hint="eastAsia" w:cs="宋体" w:asciiTheme="minorEastAsia" w:hAnsiTheme="minorEastAsia" w:eastAsiaTheme="minorEastAsia"/>
          <w:b w:val="0"/>
          <w:bCs w:val="0"/>
          <w:color w:val="auto"/>
          <w:sz w:val="24"/>
          <w:szCs w:val="24"/>
          <w:highlight w:val="none"/>
          <w:lang w:val="en-US" w:eastAsia="zh-CN"/>
        </w:rPr>
        <w:t>具体详见本公告第十二条要求。</w:t>
      </w:r>
    </w:p>
    <w:p w14:paraId="212640D9">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响应文件递交截止时间</w:t>
      </w:r>
    </w:p>
    <w:p w14:paraId="1E2AB9E0">
      <w:pPr>
        <w:adjustRightInd w:val="0"/>
        <w:snapToGrid w:val="0"/>
        <w:spacing w:line="360" w:lineRule="auto"/>
        <w:ind w:firstLine="482" w:firstLineChars="200"/>
        <w:jc w:val="left"/>
        <w:rPr>
          <w:rFonts w:hint="default" w:cs="宋体" w:asciiTheme="minorEastAsia" w:hAnsiTheme="minorEastAsia" w:eastAsiaTheme="minorEastAsia"/>
          <w:b/>
          <w:bCs/>
          <w:color w:val="auto"/>
          <w:sz w:val="24"/>
          <w:szCs w:val="24"/>
          <w:highlight w:val="none"/>
          <w:lang w:val="en-US"/>
        </w:rPr>
      </w:pPr>
      <w:r>
        <w:rPr>
          <w:rFonts w:hint="eastAsia" w:cs="宋体" w:asciiTheme="minorEastAsia" w:hAnsiTheme="minorEastAsia" w:eastAsiaTheme="minorEastAsia"/>
          <w:b/>
          <w:bCs/>
          <w:color w:val="auto"/>
          <w:sz w:val="24"/>
          <w:szCs w:val="24"/>
          <w:highlight w:val="none"/>
          <w:lang w:val="en-US" w:eastAsia="zh-CN"/>
        </w:rPr>
        <w:t>2025年 6 月 10 日15时00分</w:t>
      </w:r>
    </w:p>
    <w:p w14:paraId="403299F1">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响应文件递交地址</w:t>
      </w:r>
      <w:r>
        <w:rPr>
          <w:rFonts w:hint="eastAsia" w:cs="宋体" w:asciiTheme="minorEastAsia" w:hAnsiTheme="minorEastAsia" w:eastAsiaTheme="minorEastAsia"/>
          <w:b/>
          <w:bCs/>
          <w:color w:val="auto"/>
          <w:sz w:val="24"/>
          <w:szCs w:val="24"/>
          <w:highlight w:val="none"/>
          <w:lang w:val="en-US" w:eastAsia="zh-CN"/>
        </w:rPr>
        <w:br w:type="textWrapping"/>
      </w:r>
      <w:r>
        <w:rPr>
          <w:rFonts w:hint="eastAsia" w:ascii="仿宋" w:hAnsi="仿宋" w:eastAsia="仿宋" w:cs="仿宋"/>
          <w:i w:val="0"/>
          <w:iCs w:val="0"/>
          <w:caps w:val="0"/>
          <w:color w:val="000000"/>
          <w:spacing w:val="0"/>
          <w:kern w:val="0"/>
          <w:sz w:val="25"/>
          <w:szCs w:val="25"/>
          <w:lang w:val="en-US" w:eastAsia="zh-CN" w:bidi="ar"/>
        </w:rPr>
        <w:t>广州市白云区下塘西路686号302开标室</w:t>
      </w:r>
    </w:p>
    <w:p w14:paraId="29089582">
      <w:pPr>
        <w:numPr>
          <w:ilvl w:val="0"/>
          <w:numId w:val="1"/>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其他</w:t>
      </w:r>
    </w:p>
    <w:p w14:paraId="6E612792">
      <w:pPr>
        <w:numPr>
          <w:ilvl w:val="255"/>
          <w:numId w:val="0"/>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（一）</w:t>
      </w:r>
      <w:r>
        <w:rPr>
          <w:rFonts w:hint="eastAsia" w:cs="宋体" w:asciiTheme="minorEastAsia" w:hAnsiTheme="minorEastAsia" w:eastAsiaTheme="minorEastAsia"/>
          <w:b/>
          <w:bCs/>
          <w:color w:val="auto"/>
          <w:sz w:val="24"/>
          <w:szCs w:val="24"/>
          <w:highlight w:val="none"/>
          <w:lang w:eastAsia="zh-CN"/>
        </w:rPr>
        <w:t>投标</w:t>
      </w:r>
      <w:r>
        <w:rPr>
          <w:rFonts w:hint="eastAsia" w:cs="宋体" w:asciiTheme="minorEastAsia" w:hAnsiTheme="minorEastAsia" w:eastAsiaTheme="minorEastAsia"/>
          <w:b/>
          <w:bCs/>
          <w:color w:val="auto"/>
          <w:sz w:val="24"/>
          <w:szCs w:val="24"/>
          <w:highlight w:val="none"/>
        </w:rPr>
        <w:t>登记及购买</w:t>
      </w:r>
      <w:r>
        <w:rPr>
          <w:rFonts w:hint="eastAsia" w:cs="宋体" w:asciiTheme="minorEastAsia" w:hAnsiTheme="minorEastAsia" w:eastAsiaTheme="minorEastAsia"/>
          <w:b/>
          <w:bCs/>
          <w:color w:val="auto"/>
          <w:sz w:val="24"/>
          <w:szCs w:val="24"/>
          <w:highlight w:val="none"/>
          <w:lang w:eastAsia="zh-CN"/>
        </w:rPr>
        <w:t>招标文件</w:t>
      </w:r>
      <w:r>
        <w:rPr>
          <w:rFonts w:hint="eastAsia" w:cs="宋体" w:asciiTheme="minorEastAsia" w:hAnsiTheme="minorEastAsia" w:eastAsiaTheme="minorEastAsia"/>
          <w:b/>
          <w:bCs/>
          <w:color w:val="auto"/>
          <w:sz w:val="24"/>
          <w:szCs w:val="24"/>
          <w:highlight w:val="none"/>
        </w:rPr>
        <w:t>的时间、方式及</w:t>
      </w:r>
      <w:r>
        <w:rPr>
          <w:rFonts w:hint="eastAsia" w:cs="宋体" w:asciiTheme="minorEastAsia" w:hAnsiTheme="minorEastAsia" w:eastAsiaTheme="minorEastAsia"/>
          <w:b/>
          <w:bCs/>
          <w:color w:val="auto"/>
          <w:sz w:val="24"/>
          <w:szCs w:val="24"/>
          <w:highlight w:val="none"/>
          <w:lang w:eastAsia="zh-CN"/>
        </w:rPr>
        <w:t>招标文件</w:t>
      </w:r>
      <w:r>
        <w:rPr>
          <w:rFonts w:hint="eastAsia" w:cs="宋体" w:asciiTheme="minorEastAsia" w:hAnsiTheme="minorEastAsia" w:eastAsiaTheme="minorEastAsia"/>
          <w:b/>
          <w:bCs/>
          <w:color w:val="auto"/>
          <w:sz w:val="24"/>
          <w:szCs w:val="24"/>
          <w:highlight w:val="none"/>
        </w:rPr>
        <w:t>售价</w:t>
      </w:r>
    </w:p>
    <w:p w14:paraId="0998114B">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招标文件的获取及投标登记时间：</w:t>
      </w:r>
      <w:r>
        <w:rPr>
          <w:rFonts w:hint="eastAsia" w:cs="宋体" w:asciiTheme="minorEastAsia" w:hAnsiTheme="minorEastAsia" w:eastAsiaTheme="minorEastAsia"/>
          <w:b/>
          <w:bCs/>
          <w:color w:val="auto"/>
          <w:sz w:val="24"/>
          <w:szCs w:val="24"/>
          <w:highlight w:val="none"/>
        </w:rPr>
        <w:t>2025年</w:t>
      </w:r>
      <w:r>
        <w:rPr>
          <w:rFonts w:hint="eastAsia" w:cs="宋体" w:asciiTheme="minorEastAsia" w:hAnsiTheme="minorEastAsia" w:eastAsiaTheme="minorEastAsia"/>
          <w:b/>
          <w:bCs/>
          <w:color w:val="auto"/>
          <w:sz w:val="24"/>
          <w:szCs w:val="24"/>
          <w:highlight w:val="none"/>
          <w:lang w:val="en-US" w:eastAsia="zh-CN"/>
        </w:rPr>
        <w:t xml:space="preserve"> 5 </w:t>
      </w:r>
      <w:r>
        <w:rPr>
          <w:rFonts w:hint="eastAsia" w:cs="宋体" w:asciiTheme="minorEastAsia" w:hAnsiTheme="minorEastAsia" w:eastAsiaTheme="minorEastAsia"/>
          <w:b/>
          <w:bCs/>
          <w:color w:val="auto"/>
          <w:sz w:val="24"/>
          <w:szCs w:val="24"/>
          <w:highlight w:val="none"/>
        </w:rPr>
        <w:t>月</w:t>
      </w:r>
      <w:r>
        <w:rPr>
          <w:rFonts w:hint="eastAsia" w:cs="宋体" w:asciiTheme="minorEastAsia" w:hAnsiTheme="minorEastAsia" w:eastAsiaTheme="minorEastAsia"/>
          <w:b/>
          <w:bCs/>
          <w:color w:val="auto"/>
          <w:sz w:val="24"/>
          <w:szCs w:val="24"/>
          <w:highlight w:val="none"/>
          <w:lang w:val="en-US" w:eastAsia="zh-CN"/>
        </w:rPr>
        <w:t xml:space="preserve"> 31 </w:t>
      </w:r>
      <w:r>
        <w:rPr>
          <w:rFonts w:hint="eastAsia" w:cs="宋体" w:asciiTheme="minorEastAsia" w:hAnsiTheme="minorEastAsia" w:eastAsiaTheme="minorEastAsia"/>
          <w:b/>
          <w:bCs/>
          <w:color w:val="auto"/>
          <w:sz w:val="24"/>
          <w:szCs w:val="24"/>
          <w:highlight w:val="none"/>
        </w:rPr>
        <w:t>日至2025年</w:t>
      </w:r>
      <w:r>
        <w:rPr>
          <w:rFonts w:hint="eastAsia" w:cs="宋体" w:asciiTheme="minorEastAsia" w:hAnsiTheme="minorEastAsia" w:eastAsiaTheme="minorEastAsia"/>
          <w:b/>
          <w:bCs/>
          <w:color w:val="auto"/>
          <w:sz w:val="24"/>
          <w:szCs w:val="24"/>
          <w:highlight w:val="none"/>
          <w:lang w:val="en-US" w:eastAsia="zh-CN"/>
        </w:rPr>
        <w:t xml:space="preserve"> 6 </w:t>
      </w:r>
      <w:r>
        <w:rPr>
          <w:rFonts w:hint="eastAsia" w:cs="宋体" w:asciiTheme="minorEastAsia" w:hAnsiTheme="minorEastAsia" w:eastAsiaTheme="minorEastAsia"/>
          <w:b/>
          <w:bCs/>
          <w:color w:val="auto"/>
          <w:sz w:val="24"/>
          <w:szCs w:val="24"/>
          <w:highlight w:val="none"/>
        </w:rPr>
        <w:t>月</w:t>
      </w:r>
      <w:r>
        <w:rPr>
          <w:rFonts w:hint="eastAsia" w:cs="宋体" w:asciiTheme="minorEastAsia" w:hAnsiTheme="minorEastAsia" w:eastAsiaTheme="minorEastAsia"/>
          <w:b/>
          <w:bCs/>
          <w:color w:val="auto"/>
          <w:sz w:val="24"/>
          <w:szCs w:val="24"/>
          <w:highlight w:val="none"/>
          <w:lang w:val="en-US" w:eastAsia="zh-CN"/>
        </w:rPr>
        <w:t xml:space="preserve">5 </w:t>
      </w:r>
      <w:r>
        <w:rPr>
          <w:rFonts w:hint="eastAsia" w:cs="宋体" w:asciiTheme="minorEastAsia" w:hAnsiTheme="minorEastAsia" w:eastAsiaTheme="minorEastAsia"/>
          <w:b/>
          <w:bCs/>
          <w:color w:val="auto"/>
          <w:sz w:val="24"/>
          <w:szCs w:val="24"/>
          <w:highlight w:val="none"/>
        </w:rPr>
        <w:t>日</w:t>
      </w:r>
      <w:r>
        <w:rPr>
          <w:rFonts w:hint="eastAsia" w:cs="宋体" w:asciiTheme="minorEastAsia" w:hAnsiTheme="minorEastAsia" w:eastAsiaTheme="minorEastAsia"/>
          <w:color w:val="auto"/>
          <w:sz w:val="24"/>
          <w:szCs w:val="24"/>
          <w:highlight w:val="none"/>
        </w:rPr>
        <w:t xml:space="preserve">，上午9:00至12:00，下午14:30至17:30（北京时间，法定节假日除外）。 </w:t>
      </w:r>
    </w:p>
    <w:p w14:paraId="722B0B30">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招标文件的获取及投标登记方式：符合</w:t>
      </w:r>
      <w:r>
        <w:rPr>
          <w:rFonts w:hint="eastAsia" w:cs="宋体" w:asciiTheme="minorEastAsia" w:hAnsiTheme="minorEastAsia" w:eastAsiaTheme="minorEastAsia"/>
          <w:color w:val="auto"/>
          <w:sz w:val="24"/>
          <w:szCs w:val="24"/>
          <w:highlight w:val="none"/>
          <w:lang w:eastAsia="zh-CN"/>
        </w:rPr>
        <w:t>投标人（供应商）</w:t>
      </w:r>
      <w:r>
        <w:rPr>
          <w:rFonts w:hint="eastAsia" w:cs="宋体" w:asciiTheme="minorEastAsia" w:hAnsiTheme="minorEastAsia" w:eastAsiaTheme="minorEastAsia"/>
          <w:color w:val="auto"/>
          <w:sz w:val="24"/>
          <w:szCs w:val="24"/>
          <w:highlight w:val="none"/>
        </w:rPr>
        <w:t>资格要求的</w:t>
      </w:r>
      <w:r>
        <w:rPr>
          <w:rFonts w:hint="eastAsia" w:cs="宋体" w:asciiTheme="minorEastAsia" w:hAnsiTheme="minorEastAsia" w:eastAsiaTheme="minorEastAsia"/>
          <w:color w:val="auto"/>
          <w:sz w:val="24"/>
          <w:szCs w:val="24"/>
          <w:highlight w:val="none"/>
          <w:lang w:eastAsia="zh-CN"/>
        </w:rPr>
        <w:t>投标人（供应商）</w:t>
      </w:r>
      <w:r>
        <w:rPr>
          <w:rFonts w:hint="eastAsia" w:cs="宋体" w:asciiTheme="minorEastAsia" w:hAnsiTheme="minorEastAsia" w:eastAsiaTheme="minorEastAsia"/>
          <w:color w:val="auto"/>
          <w:sz w:val="24"/>
          <w:szCs w:val="24"/>
          <w:highlight w:val="none"/>
        </w:rPr>
        <w:t>应当在“招标文件的获取及投标登记”规定时间内，将获取招标文件的资料加盖公章后扫描发至83225943@qq.com邮箱，资料发送后</w:t>
      </w:r>
      <w:r>
        <w:rPr>
          <w:rFonts w:hint="eastAsia" w:cs="宋体" w:asciiTheme="minorEastAsia" w:hAnsiTheme="minorEastAsia" w:eastAsiaTheme="minorEastAsia"/>
          <w:color w:val="auto"/>
          <w:sz w:val="24"/>
          <w:szCs w:val="24"/>
          <w:highlight w:val="none"/>
          <w:lang w:eastAsia="zh-CN"/>
        </w:rPr>
        <w:t>投标人（供应商）</w:t>
      </w:r>
      <w:r>
        <w:rPr>
          <w:rFonts w:hint="eastAsia" w:cs="宋体" w:asciiTheme="minorEastAsia" w:hAnsiTheme="minorEastAsia" w:eastAsiaTheme="minorEastAsia"/>
          <w:color w:val="auto"/>
          <w:sz w:val="24"/>
          <w:szCs w:val="24"/>
          <w:highlight w:val="none"/>
        </w:rPr>
        <w:t>应电话通知招标代理（电话020-83851835），经招标代理工作人员确认后办理相关手续，</w:t>
      </w:r>
      <w:r>
        <w:rPr>
          <w:rFonts w:hint="eastAsia" w:cs="宋体" w:asciiTheme="minorEastAsia" w:hAnsiTheme="minorEastAsia" w:eastAsiaTheme="minorEastAsia"/>
          <w:color w:val="auto"/>
          <w:sz w:val="24"/>
          <w:szCs w:val="24"/>
          <w:highlight w:val="none"/>
          <w:lang w:eastAsia="zh-CN"/>
        </w:rPr>
        <w:t>投标人（供应商）</w:t>
      </w:r>
      <w:r>
        <w:rPr>
          <w:rFonts w:hint="eastAsia" w:cs="宋体" w:asciiTheme="minorEastAsia" w:hAnsiTheme="minorEastAsia" w:eastAsiaTheme="minorEastAsia"/>
          <w:color w:val="auto"/>
          <w:sz w:val="24"/>
          <w:szCs w:val="24"/>
          <w:highlight w:val="none"/>
        </w:rPr>
        <w:t>必须于“获取招标文件”规定时间内向我司缴纳招标文件工本费，否则视为未完成获取招标文件手续。招标文件售后不退，获取成功后，纸质招标文件如需邮寄的，由</w:t>
      </w:r>
      <w:r>
        <w:rPr>
          <w:rFonts w:hint="eastAsia" w:cs="宋体" w:asciiTheme="minorEastAsia" w:hAnsiTheme="minorEastAsia" w:eastAsiaTheme="minorEastAsia"/>
          <w:color w:val="auto"/>
          <w:sz w:val="24"/>
          <w:szCs w:val="24"/>
          <w:highlight w:val="none"/>
          <w:lang w:eastAsia="zh-CN"/>
        </w:rPr>
        <w:t>采购代理机构</w:t>
      </w:r>
      <w:r>
        <w:rPr>
          <w:rFonts w:hint="eastAsia" w:cs="宋体" w:asciiTheme="minorEastAsia" w:hAnsiTheme="minorEastAsia" w:eastAsiaTheme="minorEastAsia"/>
          <w:color w:val="auto"/>
          <w:sz w:val="24"/>
          <w:szCs w:val="24"/>
          <w:highlight w:val="none"/>
        </w:rPr>
        <w:t>邮寄给</w:t>
      </w:r>
      <w:r>
        <w:rPr>
          <w:rFonts w:hint="eastAsia" w:cs="宋体" w:asciiTheme="minorEastAsia" w:hAnsiTheme="minorEastAsia" w:eastAsiaTheme="minorEastAsia"/>
          <w:color w:val="auto"/>
          <w:sz w:val="24"/>
          <w:szCs w:val="24"/>
          <w:highlight w:val="none"/>
          <w:lang w:eastAsia="zh-CN"/>
        </w:rPr>
        <w:t>投标人（供应商）</w:t>
      </w:r>
      <w:r>
        <w:rPr>
          <w:rFonts w:hint="eastAsia" w:cs="宋体" w:asciiTheme="minorEastAsia" w:hAnsiTheme="minorEastAsia" w:eastAsiaTheme="minorEastAsia"/>
          <w:color w:val="auto"/>
          <w:sz w:val="24"/>
          <w:szCs w:val="24"/>
          <w:highlight w:val="none"/>
        </w:rPr>
        <w:t>，运费自理，在任何情况下</w:t>
      </w:r>
      <w:r>
        <w:rPr>
          <w:rFonts w:hint="eastAsia" w:cs="宋体" w:asciiTheme="minorEastAsia" w:hAnsiTheme="minorEastAsia" w:eastAsiaTheme="minorEastAsia"/>
          <w:color w:val="auto"/>
          <w:sz w:val="24"/>
          <w:szCs w:val="24"/>
          <w:highlight w:val="none"/>
          <w:lang w:eastAsia="zh-CN"/>
        </w:rPr>
        <w:t>采购代理机构</w:t>
      </w:r>
      <w:r>
        <w:rPr>
          <w:rFonts w:hint="eastAsia" w:cs="宋体" w:asciiTheme="minorEastAsia" w:hAnsiTheme="minorEastAsia" w:eastAsiaTheme="minorEastAsia"/>
          <w:color w:val="auto"/>
          <w:sz w:val="24"/>
          <w:szCs w:val="24"/>
          <w:highlight w:val="none"/>
        </w:rPr>
        <w:t>对邮寄过程中发生的迟交或遗失均不承担责任。</w:t>
      </w:r>
    </w:p>
    <w:p w14:paraId="648EEBD0">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工本费：300元人民币，售后不退。</w:t>
      </w:r>
    </w:p>
    <w:p w14:paraId="73F58E93">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收款单位：广州市云兴建设工程监理有限公司</w:t>
      </w:r>
    </w:p>
    <w:p w14:paraId="5596A0BD">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开户行：中国工商银行股份有限公司广州建设六马路支行</w:t>
      </w:r>
    </w:p>
    <w:p w14:paraId="1627925A">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银行账号：3602011009001136937</w:t>
      </w:r>
    </w:p>
    <w:p w14:paraId="30819691">
      <w:pPr>
        <w:numPr>
          <w:ilvl w:val="255"/>
          <w:numId w:val="0"/>
        </w:numPr>
        <w:spacing w:line="360" w:lineRule="auto"/>
        <w:ind w:firstLine="482" w:firstLine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注：</w:t>
      </w:r>
      <w:r>
        <w:rPr>
          <w:rFonts w:hint="eastAsia" w:cs="宋体" w:asciiTheme="minorEastAsia" w:hAnsiTheme="minorEastAsia" w:eastAsiaTheme="minorEastAsia"/>
          <w:b/>
          <w:bCs/>
          <w:color w:val="auto"/>
          <w:sz w:val="24"/>
          <w:szCs w:val="24"/>
          <w:highlight w:val="none"/>
          <w:lang w:eastAsia="zh-CN"/>
        </w:rPr>
        <w:t>投标人（供应商）</w:t>
      </w:r>
      <w:r>
        <w:rPr>
          <w:rFonts w:hint="eastAsia" w:cs="宋体" w:asciiTheme="minorEastAsia" w:hAnsiTheme="minorEastAsia" w:eastAsiaTheme="minorEastAsia"/>
          <w:b/>
          <w:bCs/>
          <w:color w:val="auto"/>
          <w:sz w:val="24"/>
          <w:szCs w:val="24"/>
          <w:highlight w:val="none"/>
        </w:rPr>
        <w:t>凭以下相关证明材料（均须加盖</w:t>
      </w:r>
      <w:r>
        <w:rPr>
          <w:rFonts w:hint="eastAsia" w:cs="宋体" w:asciiTheme="minorEastAsia" w:hAnsiTheme="minorEastAsia" w:eastAsiaTheme="minorEastAsia"/>
          <w:b/>
          <w:bCs/>
          <w:color w:val="auto"/>
          <w:sz w:val="24"/>
          <w:szCs w:val="24"/>
          <w:highlight w:val="none"/>
          <w:lang w:eastAsia="zh-CN"/>
        </w:rPr>
        <w:t>投标人（供应商）</w:t>
      </w:r>
      <w:r>
        <w:rPr>
          <w:rFonts w:hint="eastAsia" w:cs="宋体" w:asciiTheme="minorEastAsia" w:hAnsiTheme="minorEastAsia" w:eastAsiaTheme="minorEastAsia"/>
          <w:b/>
          <w:bCs/>
          <w:color w:val="auto"/>
          <w:sz w:val="24"/>
          <w:szCs w:val="24"/>
          <w:highlight w:val="none"/>
        </w:rPr>
        <w:t>公章的扫描件）获取招标文件：</w:t>
      </w:r>
    </w:p>
    <w:p w14:paraId="2148D8C5">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（1）提供营业执照扫描件。</w:t>
      </w:r>
    </w:p>
    <w:p w14:paraId="36B8DD53">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（2）法定代表人证明书及法定代表人授权委托书（非法定代表人办理时提供）扫描件。</w:t>
      </w:r>
    </w:p>
    <w:p w14:paraId="1703B6D3">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lang w:eastAsia="zh-CN"/>
        </w:rPr>
        <w:t>投标人（供应商）</w:t>
      </w:r>
      <w:r>
        <w:rPr>
          <w:rFonts w:hint="eastAsia" w:cs="宋体" w:asciiTheme="minorEastAsia" w:hAnsiTheme="minorEastAsia" w:eastAsiaTheme="minorEastAsia"/>
          <w:color w:val="auto"/>
          <w:sz w:val="24"/>
          <w:szCs w:val="24"/>
          <w:highlight w:val="none"/>
        </w:rPr>
        <w:t>授权代表身份证扫描件。</w:t>
      </w:r>
    </w:p>
    <w:p w14:paraId="2FC1C008">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（4）《招标文件登记表》扫描件（格式详见附件）。</w:t>
      </w:r>
    </w:p>
    <w:p w14:paraId="09BB89C3">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（5）招标文件工本费支付凭证扫描件。</w:t>
      </w:r>
    </w:p>
    <w:p w14:paraId="105ABFB8">
      <w:pPr>
        <w:numPr>
          <w:ilvl w:val="255"/>
          <w:numId w:val="0"/>
        </w:numPr>
        <w:spacing w:line="360" w:lineRule="auto"/>
        <w:ind w:left="420" w:leftChars="200" w:firstLine="420" w:firstLineChars="175"/>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投标人（供应商）</w:t>
      </w:r>
      <w:r>
        <w:rPr>
          <w:rFonts w:hint="eastAsia" w:cs="宋体" w:asciiTheme="minorEastAsia" w:hAnsiTheme="minorEastAsia" w:eastAsiaTheme="minorEastAsia"/>
          <w:color w:val="auto"/>
          <w:sz w:val="24"/>
          <w:szCs w:val="24"/>
          <w:highlight w:val="none"/>
        </w:rPr>
        <w:t>自购买招标文件之日起，应确保其向</w:t>
      </w:r>
      <w:r>
        <w:rPr>
          <w:rFonts w:hint="eastAsia" w:cs="宋体" w:asciiTheme="minorEastAsia" w:hAnsiTheme="minorEastAsia" w:eastAsiaTheme="minorEastAsia"/>
          <w:color w:val="auto"/>
          <w:sz w:val="24"/>
          <w:szCs w:val="24"/>
          <w:highlight w:val="none"/>
          <w:lang w:eastAsia="zh-CN"/>
        </w:rPr>
        <w:t>采购方</w:t>
      </w:r>
      <w:r>
        <w:rPr>
          <w:rFonts w:hint="eastAsia" w:cs="宋体" w:asciiTheme="minorEastAsia" w:hAnsiTheme="minorEastAsia" w:eastAsiaTheme="minorEastAsia"/>
          <w:color w:val="auto"/>
          <w:sz w:val="24"/>
          <w:szCs w:val="24"/>
          <w:highlight w:val="none"/>
        </w:rPr>
        <w:t>提供的通讯手段(电话、传真、邮箱)一直有效，以保证往来函件能及时传达并及时反馈信息，否则由此引起的一切后果由</w:t>
      </w:r>
      <w:r>
        <w:rPr>
          <w:rFonts w:hint="eastAsia" w:cs="宋体" w:asciiTheme="minorEastAsia" w:hAnsiTheme="minorEastAsia" w:eastAsiaTheme="minorEastAsia"/>
          <w:color w:val="auto"/>
          <w:sz w:val="24"/>
          <w:szCs w:val="24"/>
          <w:highlight w:val="none"/>
          <w:lang w:eastAsia="zh-CN"/>
        </w:rPr>
        <w:t>投标人（供应商）</w:t>
      </w:r>
      <w:r>
        <w:rPr>
          <w:rFonts w:hint="eastAsia" w:cs="宋体" w:asciiTheme="minorEastAsia" w:hAnsiTheme="minorEastAsia" w:eastAsiaTheme="minorEastAsia"/>
          <w:color w:val="auto"/>
          <w:sz w:val="24"/>
          <w:szCs w:val="24"/>
          <w:highlight w:val="none"/>
        </w:rPr>
        <w:t>承担。</w:t>
      </w:r>
    </w:p>
    <w:p w14:paraId="6DCBACC2">
      <w:pPr>
        <w:numPr>
          <w:ilvl w:val="255"/>
          <w:numId w:val="0"/>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eastAsia="zh-CN"/>
        </w:rPr>
        <w:t>（</w:t>
      </w:r>
      <w:r>
        <w:rPr>
          <w:rFonts w:hint="eastAsia" w:cs="宋体" w:asciiTheme="minorEastAsia" w:hAnsiTheme="minorEastAsia" w:eastAsiaTheme="minorEastAsia"/>
          <w:b/>
          <w:bCs/>
          <w:color w:val="auto"/>
          <w:sz w:val="24"/>
          <w:szCs w:val="24"/>
          <w:highlight w:val="none"/>
          <w:lang w:val="en-US" w:eastAsia="zh-CN"/>
        </w:rPr>
        <w:t>二</w:t>
      </w:r>
      <w:r>
        <w:rPr>
          <w:rFonts w:hint="eastAsia" w:cs="宋体" w:asciiTheme="minorEastAsia" w:hAnsiTheme="minorEastAsia" w:eastAsiaTheme="minorEastAsia"/>
          <w:b/>
          <w:bCs/>
          <w:color w:val="auto"/>
          <w:sz w:val="24"/>
          <w:szCs w:val="24"/>
          <w:highlight w:val="none"/>
          <w:lang w:eastAsia="zh-CN"/>
        </w:rPr>
        <w:t>）</w:t>
      </w:r>
      <w:r>
        <w:rPr>
          <w:rFonts w:hint="eastAsia" w:cs="宋体" w:asciiTheme="minorEastAsia" w:hAnsiTheme="minorEastAsia" w:eastAsiaTheme="minorEastAsia"/>
          <w:b/>
          <w:bCs/>
          <w:color w:val="auto"/>
          <w:sz w:val="24"/>
          <w:szCs w:val="24"/>
          <w:highlight w:val="none"/>
        </w:rPr>
        <w:t>递交</w:t>
      </w:r>
      <w:r>
        <w:rPr>
          <w:rFonts w:hint="eastAsia" w:cs="宋体" w:asciiTheme="minorEastAsia" w:hAnsiTheme="minorEastAsia" w:eastAsiaTheme="minorEastAsia"/>
          <w:b/>
          <w:bCs/>
          <w:color w:val="auto"/>
          <w:sz w:val="24"/>
          <w:szCs w:val="24"/>
          <w:highlight w:val="none"/>
          <w:lang w:eastAsia="zh-CN"/>
        </w:rPr>
        <w:t>投标</w:t>
      </w:r>
      <w:r>
        <w:rPr>
          <w:rFonts w:hint="eastAsia" w:cs="宋体" w:asciiTheme="minorEastAsia" w:hAnsiTheme="minorEastAsia" w:eastAsiaTheme="minorEastAsia"/>
          <w:b/>
          <w:bCs/>
          <w:color w:val="auto"/>
          <w:sz w:val="24"/>
          <w:szCs w:val="24"/>
          <w:highlight w:val="none"/>
        </w:rPr>
        <w:t>文件时间、</w:t>
      </w:r>
      <w:r>
        <w:rPr>
          <w:rFonts w:hint="eastAsia" w:cs="宋体" w:asciiTheme="minorEastAsia" w:hAnsiTheme="minorEastAsia" w:eastAsiaTheme="minorEastAsia"/>
          <w:b/>
          <w:bCs/>
          <w:color w:val="auto"/>
          <w:sz w:val="24"/>
          <w:szCs w:val="24"/>
          <w:highlight w:val="none"/>
          <w:lang w:eastAsia="zh-CN"/>
        </w:rPr>
        <w:t>投标</w:t>
      </w:r>
      <w:r>
        <w:rPr>
          <w:rFonts w:hint="eastAsia" w:cs="宋体" w:asciiTheme="minorEastAsia" w:hAnsiTheme="minorEastAsia" w:eastAsiaTheme="minorEastAsia"/>
          <w:b/>
          <w:bCs/>
          <w:color w:val="auto"/>
          <w:sz w:val="24"/>
          <w:szCs w:val="24"/>
          <w:highlight w:val="none"/>
        </w:rPr>
        <w:t>截止及开标时间、开标地点</w:t>
      </w:r>
    </w:p>
    <w:p w14:paraId="39AF7235">
      <w:pPr>
        <w:numPr>
          <w:ilvl w:val="255"/>
          <w:numId w:val="0"/>
        </w:numPr>
        <w:spacing w:line="360" w:lineRule="auto"/>
        <w:ind w:left="660" w:leftChars="200" w:hanging="240" w:hangingChars="1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sz w:val="24"/>
          <w:szCs w:val="24"/>
          <w:highlight w:val="none"/>
        </w:rPr>
        <w:t>递交</w:t>
      </w:r>
      <w:r>
        <w:rPr>
          <w:rFonts w:hint="eastAsia" w:cs="宋体" w:asciiTheme="minorEastAsia" w:hAnsiTheme="minorEastAsia" w:eastAsiaTheme="minorEastAsia"/>
          <w:color w:val="auto"/>
          <w:sz w:val="24"/>
          <w:szCs w:val="24"/>
          <w:highlight w:val="none"/>
          <w:lang w:eastAsia="zh-CN"/>
        </w:rPr>
        <w:t>投标</w:t>
      </w:r>
      <w:r>
        <w:rPr>
          <w:rFonts w:hint="eastAsia" w:cs="宋体" w:asciiTheme="minorEastAsia" w:hAnsiTheme="minorEastAsia" w:eastAsiaTheme="minorEastAsia"/>
          <w:color w:val="auto"/>
          <w:sz w:val="24"/>
          <w:szCs w:val="24"/>
          <w:highlight w:val="none"/>
        </w:rPr>
        <w:t>文件时间：</w:t>
      </w:r>
      <w:r>
        <w:rPr>
          <w:rFonts w:hint="eastAsia" w:cs="宋体" w:asciiTheme="minorEastAsia" w:hAnsiTheme="minorEastAsia" w:eastAsiaTheme="minorEastAsia"/>
          <w:b/>
          <w:bCs/>
          <w:color w:val="auto"/>
          <w:sz w:val="24"/>
          <w:szCs w:val="24"/>
          <w:highlight w:val="none"/>
          <w:lang w:eastAsia="zh-CN"/>
        </w:rPr>
        <w:t>2025</w:t>
      </w:r>
      <w:r>
        <w:rPr>
          <w:rFonts w:hint="eastAsia" w:cs="宋体" w:asciiTheme="minorEastAsia" w:hAnsiTheme="minorEastAsia" w:eastAsiaTheme="minorEastAsia"/>
          <w:b/>
          <w:bCs/>
          <w:color w:val="auto"/>
          <w:sz w:val="24"/>
          <w:szCs w:val="24"/>
          <w:highlight w:val="none"/>
        </w:rPr>
        <w:t>年</w:t>
      </w:r>
      <w:r>
        <w:rPr>
          <w:rFonts w:hint="eastAsia" w:cs="宋体" w:asciiTheme="minorEastAsia" w:hAnsiTheme="minorEastAsia" w:eastAsiaTheme="minorEastAsia"/>
          <w:b/>
          <w:bCs/>
          <w:color w:val="auto"/>
          <w:sz w:val="24"/>
          <w:szCs w:val="24"/>
          <w:highlight w:val="none"/>
          <w:lang w:val="en-US" w:eastAsia="zh-CN"/>
        </w:rPr>
        <w:t>6</w:t>
      </w:r>
      <w:r>
        <w:rPr>
          <w:rFonts w:hint="eastAsia" w:cs="宋体" w:asciiTheme="minorEastAsia" w:hAnsiTheme="minorEastAsia" w:eastAsiaTheme="minorEastAsia"/>
          <w:b/>
          <w:bCs/>
          <w:color w:val="auto"/>
          <w:sz w:val="24"/>
          <w:szCs w:val="24"/>
          <w:highlight w:val="none"/>
        </w:rPr>
        <w:t>月</w:t>
      </w:r>
      <w:r>
        <w:rPr>
          <w:rFonts w:hint="eastAsia" w:cs="宋体" w:asciiTheme="minorEastAsia" w:hAnsiTheme="minorEastAsia" w:eastAsiaTheme="minorEastAsia"/>
          <w:b/>
          <w:bCs/>
          <w:color w:val="auto"/>
          <w:sz w:val="24"/>
          <w:szCs w:val="24"/>
          <w:highlight w:val="none"/>
          <w:lang w:val="en-US" w:eastAsia="zh-CN"/>
        </w:rPr>
        <w:t>10</w:t>
      </w:r>
      <w:r>
        <w:rPr>
          <w:rFonts w:hint="eastAsia" w:cs="宋体" w:asciiTheme="minorEastAsia" w:hAnsiTheme="minorEastAsia" w:eastAsiaTheme="minorEastAsia"/>
          <w:b/>
          <w:bCs/>
          <w:color w:val="auto"/>
          <w:sz w:val="24"/>
          <w:szCs w:val="24"/>
          <w:highlight w:val="none"/>
        </w:rPr>
        <w:t>日</w:t>
      </w:r>
      <w:r>
        <w:rPr>
          <w:rFonts w:hint="eastAsia" w:cs="宋体" w:asciiTheme="minorEastAsia" w:hAnsiTheme="minorEastAsia" w:eastAsiaTheme="minorEastAsia"/>
          <w:b/>
          <w:bCs/>
          <w:color w:val="auto"/>
          <w:sz w:val="24"/>
          <w:szCs w:val="24"/>
          <w:highlight w:val="none"/>
          <w:lang w:val="en-US" w:eastAsia="zh-CN"/>
        </w:rPr>
        <w:t>14</w:t>
      </w:r>
      <w:r>
        <w:rPr>
          <w:rFonts w:hint="eastAsia" w:cs="宋体" w:asciiTheme="minorEastAsia" w:hAnsiTheme="minorEastAsia" w:eastAsiaTheme="minorEastAsia"/>
          <w:b/>
          <w:bCs/>
          <w:color w:val="auto"/>
          <w:sz w:val="24"/>
          <w:szCs w:val="24"/>
          <w:highlight w:val="none"/>
        </w:rPr>
        <w:t>时</w:t>
      </w:r>
      <w:r>
        <w:rPr>
          <w:rFonts w:hint="eastAsia" w:cs="宋体" w:asciiTheme="minorEastAsia" w:hAnsiTheme="minorEastAsia" w:eastAsiaTheme="minorEastAsia"/>
          <w:b/>
          <w:bCs/>
          <w:color w:val="auto"/>
          <w:sz w:val="24"/>
          <w:szCs w:val="24"/>
          <w:highlight w:val="none"/>
          <w:lang w:val="en-US" w:eastAsia="zh-CN"/>
        </w:rPr>
        <w:t>30</w:t>
      </w:r>
      <w:r>
        <w:rPr>
          <w:rFonts w:hint="eastAsia" w:cs="宋体" w:asciiTheme="minorEastAsia" w:hAnsiTheme="minorEastAsia" w:eastAsiaTheme="minorEastAsia"/>
          <w:b/>
          <w:bCs/>
          <w:color w:val="auto"/>
          <w:sz w:val="24"/>
          <w:szCs w:val="24"/>
          <w:highlight w:val="none"/>
        </w:rPr>
        <w:t>分至</w:t>
      </w:r>
      <w:r>
        <w:rPr>
          <w:rFonts w:hint="eastAsia" w:cs="宋体" w:asciiTheme="minorEastAsia" w:hAnsiTheme="minorEastAsia" w:eastAsiaTheme="minorEastAsia"/>
          <w:b/>
          <w:bCs/>
          <w:color w:val="auto"/>
          <w:sz w:val="24"/>
          <w:szCs w:val="24"/>
          <w:highlight w:val="none"/>
          <w:lang w:val="en-US" w:eastAsia="zh-CN"/>
        </w:rPr>
        <w:t>2025年6月10日15时00分</w:t>
      </w:r>
    </w:p>
    <w:p w14:paraId="5F22011C">
      <w:pPr>
        <w:numPr>
          <w:ilvl w:val="255"/>
          <w:numId w:val="0"/>
        </w:numPr>
        <w:spacing w:line="360" w:lineRule="auto"/>
        <w:ind w:left="420" w:leftChars="200"/>
        <w:jc w:val="both"/>
        <w:rPr>
          <w:rFonts w:hint="eastAsia" w:ascii="宋体" w:hAnsi="宋体" w:cs="宋体"/>
          <w:b/>
          <w:color w:val="auto"/>
          <w:sz w:val="24"/>
          <w:highlight w:val="none"/>
        </w:rPr>
      </w:pPr>
      <w:r>
        <w:rPr>
          <w:rFonts w:hint="eastAsia" w:cs="宋体" w:asciiTheme="minorEastAsia" w:hAnsiTheme="minorEastAsia" w:eastAsiaTheme="minorEastAsia"/>
          <w:color w:val="auto"/>
          <w:sz w:val="24"/>
          <w:szCs w:val="24"/>
          <w:highlight w:val="none"/>
          <w:lang w:val="en-US" w:eastAsia="zh-CN"/>
        </w:rPr>
        <w:t>2.</w:t>
      </w:r>
      <w:r>
        <w:rPr>
          <w:rFonts w:hint="eastAsia" w:ascii="宋体" w:hAnsi="宋体" w:cs="宋体"/>
          <w:color w:val="auto"/>
          <w:sz w:val="24"/>
          <w:highlight w:val="none"/>
        </w:rPr>
        <w:t>递交方式：</w:t>
      </w:r>
      <w:r>
        <w:rPr>
          <w:rFonts w:hint="eastAsia" w:ascii="宋体" w:hAnsi="宋体" w:cs="宋体"/>
          <w:b/>
          <w:color w:val="auto"/>
          <w:sz w:val="24"/>
          <w:highlight w:val="none"/>
        </w:rPr>
        <w:t xml:space="preserve"> 现场递交纸质投标文件，不接受邮寄等其他方式。</w:t>
      </w:r>
    </w:p>
    <w:p w14:paraId="1ABD2C1B">
      <w:pPr>
        <w:numPr>
          <w:ilvl w:val="255"/>
          <w:numId w:val="0"/>
        </w:numPr>
        <w:spacing w:line="360" w:lineRule="auto"/>
        <w:ind w:left="420" w:leftChars="200" w:firstLine="723" w:firstLineChars="300"/>
        <w:jc w:val="both"/>
        <w:rPr>
          <w:rFonts w:hint="eastAsia" w:cs="宋体" w:asciiTheme="minorEastAsia" w:hAnsiTheme="minorEastAsia" w:eastAsiaTheme="minorEastAsia"/>
          <w:color w:val="auto"/>
          <w:sz w:val="24"/>
          <w:szCs w:val="24"/>
          <w:highlight w:val="none"/>
        </w:rPr>
      </w:pPr>
      <w:r>
        <w:rPr>
          <w:rFonts w:hint="eastAsia" w:ascii="宋体" w:hAnsi="宋体" w:cs="宋体"/>
          <w:b/>
          <w:color w:val="auto"/>
          <w:sz w:val="24"/>
          <w:highlight w:val="none"/>
        </w:rPr>
        <w:t>逾期送达的、未送达指定地点的或者不按照招标文件要求密封的投标文件，</w:t>
      </w:r>
      <w:r>
        <w:rPr>
          <w:rFonts w:hint="eastAsia" w:ascii="宋体" w:hAnsi="宋体" w:cs="宋体"/>
          <w:b/>
          <w:color w:val="auto"/>
          <w:sz w:val="24"/>
          <w:highlight w:val="none"/>
          <w:lang w:eastAsia="zh-CN"/>
        </w:rPr>
        <w:t>采购方</w:t>
      </w:r>
      <w:r>
        <w:rPr>
          <w:rFonts w:hint="eastAsia" w:ascii="宋体" w:hAnsi="宋体" w:cs="宋体"/>
          <w:b/>
          <w:color w:val="auto"/>
          <w:sz w:val="24"/>
          <w:highlight w:val="none"/>
        </w:rPr>
        <w:t>将予以拒收。</w:t>
      </w:r>
    </w:p>
    <w:p w14:paraId="6651BAE8">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rPr>
        <w:t>开标时间：</w:t>
      </w:r>
      <w:r>
        <w:rPr>
          <w:rFonts w:hint="eastAsia" w:ascii="宋体" w:hAnsi="宋体" w:cs="宋体"/>
          <w:color w:val="auto"/>
          <w:sz w:val="24"/>
          <w:highlight w:val="none"/>
          <w:u w:val="none"/>
        </w:rPr>
        <w:t>为投标文件截止时间</w:t>
      </w:r>
    </w:p>
    <w:p w14:paraId="687C51D6">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4.</w:t>
      </w:r>
      <w:r>
        <w:rPr>
          <w:rFonts w:hint="eastAsia" w:cs="宋体" w:asciiTheme="minorEastAsia" w:hAnsiTheme="minorEastAsia" w:eastAsiaTheme="minorEastAsia"/>
          <w:color w:val="auto"/>
          <w:sz w:val="24"/>
          <w:szCs w:val="24"/>
          <w:highlight w:val="none"/>
        </w:rPr>
        <w:t>开标地点：广州市白云区下塘西路686号三楼</w:t>
      </w:r>
      <w:r>
        <w:rPr>
          <w:rFonts w:hint="eastAsia" w:cs="宋体" w:asciiTheme="minorEastAsia" w:hAnsiTheme="minorEastAsia" w:eastAsiaTheme="minorEastAsia"/>
          <w:color w:val="auto"/>
          <w:sz w:val="24"/>
          <w:szCs w:val="24"/>
          <w:highlight w:val="none"/>
          <w:lang w:val="en-US" w:eastAsia="zh-CN"/>
        </w:rPr>
        <w:t>302</w:t>
      </w:r>
      <w:r>
        <w:rPr>
          <w:rFonts w:hint="eastAsia" w:cs="宋体" w:asciiTheme="minorEastAsia" w:hAnsiTheme="minorEastAsia" w:eastAsiaTheme="minorEastAsia"/>
          <w:color w:val="auto"/>
          <w:sz w:val="24"/>
          <w:szCs w:val="24"/>
          <w:highlight w:val="none"/>
        </w:rPr>
        <w:t>开标室</w:t>
      </w:r>
    </w:p>
    <w:p w14:paraId="68C45B03">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上述时间和地点是否有改变，请密切留意变更公告的相关信息。</w:t>
      </w:r>
    </w:p>
    <w:p w14:paraId="6C8101F3">
      <w:pPr>
        <w:widowControl/>
        <w:adjustRightInd w:val="0"/>
        <w:snapToGrid w:val="0"/>
        <w:spacing w:line="360" w:lineRule="auto"/>
        <w:ind w:left="210" w:leftChars="100" w:firstLine="240" w:firstLineChars="100"/>
        <w:rPr>
          <w:rFonts w:hint="eastAsia" w:ascii="宋体" w:hAnsi="宋体" w:cs="宋体"/>
          <w:b w:val="0"/>
          <w:bCs w:val="0"/>
          <w:color w:val="auto"/>
          <w:sz w:val="24"/>
          <w:highlight w:val="none"/>
        </w:rPr>
      </w:pPr>
      <w:r>
        <w:rPr>
          <w:rFonts w:hint="eastAsia" w:ascii="宋体" w:hAnsi="宋体" w:cs="宋体"/>
          <w:color w:val="auto"/>
          <w:sz w:val="24"/>
          <w:highlight w:val="none"/>
          <w:lang w:val="en-US" w:eastAsia="zh-CN"/>
        </w:rPr>
        <w:t>6.公</w:t>
      </w:r>
      <w:r>
        <w:rPr>
          <w:rFonts w:hint="eastAsia" w:ascii="宋体" w:hAnsi="宋体" w:cs="宋体"/>
          <w:b w:val="0"/>
          <w:bCs w:val="0"/>
          <w:color w:val="auto"/>
          <w:sz w:val="24"/>
          <w:highlight w:val="none"/>
        </w:rPr>
        <w:t>告发布之日起至投标文件递交截止时间不少于7个日历天。</w:t>
      </w:r>
    </w:p>
    <w:p w14:paraId="4FE45F73">
      <w:pPr>
        <w:numPr>
          <w:ilvl w:val="255"/>
          <w:numId w:val="0"/>
        </w:numPr>
        <w:spacing w:line="360" w:lineRule="auto"/>
        <w:ind w:left="420" w:leftChars="200"/>
        <w:jc w:val="both"/>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eastAsia="zh-CN"/>
        </w:rPr>
        <w:t>（</w:t>
      </w:r>
      <w:r>
        <w:rPr>
          <w:rFonts w:hint="eastAsia" w:cs="宋体" w:asciiTheme="minorEastAsia" w:hAnsiTheme="minorEastAsia" w:eastAsiaTheme="minorEastAsia"/>
          <w:b/>
          <w:bCs/>
          <w:color w:val="auto"/>
          <w:sz w:val="24"/>
          <w:szCs w:val="24"/>
          <w:highlight w:val="none"/>
          <w:lang w:val="en-US" w:eastAsia="zh-CN"/>
        </w:rPr>
        <w:t>三</w:t>
      </w:r>
      <w:r>
        <w:rPr>
          <w:rFonts w:hint="eastAsia" w:cs="宋体" w:asciiTheme="minorEastAsia" w:hAnsiTheme="minorEastAsia" w:eastAsiaTheme="minorEastAsia"/>
          <w:b/>
          <w:bCs/>
          <w:color w:val="auto"/>
          <w:sz w:val="24"/>
          <w:szCs w:val="24"/>
          <w:highlight w:val="none"/>
          <w:lang w:eastAsia="zh-CN"/>
        </w:rPr>
        <w:t>）</w:t>
      </w:r>
      <w:r>
        <w:rPr>
          <w:rFonts w:hint="eastAsia" w:cs="宋体" w:asciiTheme="minorEastAsia" w:hAnsiTheme="minorEastAsia" w:eastAsiaTheme="minorEastAsia"/>
          <w:b/>
          <w:bCs/>
          <w:color w:val="auto"/>
          <w:sz w:val="24"/>
          <w:szCs w:val="24"/>
          <w:highlight w:val="none"/>
        </w:rPr>
        <w:t>、</w:t>
      </w:r>
      <w:r>
        <w:rPr>
          <w:rFonts w:hint="eastAsia" w:cs="宋体" w:asciiTheme="minorEastAsia" w:hAnsiTheme="minorEastAsia" w:eastAsiaTheme="minorEastAsia"/>
          <w:b/>
          <w:bCs/>
          <w:color w:val="auto"/>
          <w:sz w:val="24"/>
          <w:szCs w:val="24"/>
          <w:highlight w:val="none"/>
          <w:lang w:eastAsia="zh-CN"/>
        </w:rPr>
        <w:t>招标</w:t>
      </w:r>
      <w:r>
        <w:rPr>
          <w:rFonts w:hint="eastAsia" w:cs="宋体" w:asciiTheme="minorEastAsia" w:hAnsiTheme="minorEastAsia" w:eastAsiaTheme="minorEastAsia"/>
          <w:b/>
          <w:bCs/>
          <w:color w:val="auto"/>
          <w:sz w:val="24"/>
          <w:szCs w:val="24"/>
          <w:highlight w:val="none"/>
        </w:rPr>
        <w:t>信息发布及结果公告网站</w:t>
      </w:r>
    </w:p>
    <w:p w14:paraId="4133E66D">
      <w:pPr>
        <w:widowControl/>
        <w:adjustRightInd w:val="0"/>
        <w:snapToGrid w:val="0"/>
        <w:spacing w:line="360" w:lineRule="auto"/>
        <w:ind w:firstLine="480" w:firstLineChars="200"/>
        <w:jc w:val="both"/>
        <w:rPr>
          <w:rFonts w:hint="eastAsia" w:cs="宋体" w:asciiTheme="minorEastAsia" w:hAnsiTheme="minorEastAsia" w:eastAsiaTheme="minorEastAsia"/>
          <w:b/>
          <w:bCs/>
          <w:color w:val="auto"/>
          <w:sz w:val="24"/>
          <w:szCs w:val="24"/>
          <w:highlight w:val="none"/>
          <w:lang w:val="en-US" w:eastAsia="zh-CN"/>
        </w:rPr>
      </w:pPr>
      <w:r>
        <w:rPr>
          <w:rFonts w:hint="eastAsia" w:ascii="宋体" w:hAnsi="宋体" w:cs="宋体"/>
          <w:color w:val="auto"/>
          <w:sz w:val="24"/>
          <w:highlight w:val="none"/>
        </w:rPr>
        <w:t>本次招标公告同时在广州市云兴建设工程监理有限公司网站(网址：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"http://www.gzjyem.com.cn/wzsy" </w:instrText>
      </w:r>
      <w:r>
        <w:rPr>
          <w:rFonts w:ascii="宋体" w:hAnsi="宋体" w:cs="宋体"/>
          <w:color w:val="auto"/>
          <w:sz w:val="24"/>
          <w:highlight w:val="none"/>
        </w:rPr>
        <w:fldChar w:fldCharType="separate"/>
      </w:r>
      <w:r>
        <w:rPr>
          <w:rFonts w:ascii="宋体" w:hAnsi="宋体" w:cs="宋体"/>
          <w:color w:val="auto"/>
          <w:sz w:val="24"/>
          <w:highlight w:val="none"/>
        </w:rPr>
        <w:t>http://www.gzyxjl.com/</w:t>
      </w:r>
      <w:r>
        <w:rPr>
          <w:rFonts w:ascii="宋体" w:hAnsi="宋体" w:cs="宋体"/>
          <w:color w:val="auto"/>
          <w:sz w:val="24"/>
          <w:highlight w:val="none"/>
        </w:rPr>
        <w:fldChar w:fldCharType="end"/>
      </w:r>
      <w:r>
        <w:rPr>
          <w:rFonts w:hint="eastAsia" w:ascii="宋体" w:hAnsi="宋体" w:cs="宋体"/>
          <w:color w:val="auto"/>
          <w:sz w:val="24"/>
          <w:highlight w:val="none"/>
        </w:rPr>
        <w:t>)、广州国企阳光采购信息发布平台https://ygcg.gzggzy.cn/p92/index.html、中国招标投标公共服务平台（网址：</w:t>
      </w:r>
      <w:r>
        <w:rPr>
          <w:rFonts w:ascii="宋体" w:hAnsi="宋体" w:cs="宋体"/>
          <w:color w:val="auto"/>
          <w:sz w:val="24"/>
          <w:highlight w:val="none"/>
        </w:rPr>
        <w:t>http://www.cebpubservice.com/</w:t>
      </w:r>
      <w:r>
        <w:rPr>
          <w:rFonts w:hint="eastAsia" w:ascii="宋体" w:hAnsi="宋体" w:cs="宋体"/>
          <w:color w:val="auto"/>
          <w:sz w:val="24"/>
          <w:highlight w:val="none"/>
        </w:rPr>
        <w:t>）。本公告的修改、补充，在以上网站同步发布。本公告在各媒体发布的文本如有不同之处，以在广州国企阳光采购信息发布平台发布的文本为准。</w:t>
      </w:r>
    </w:p>
    <w:p w14:paraId="1B6B51B0">
      <w:pPr>
        <w:widowControl/>
        <w:numPr>
          <w:ilvl w:val="0"/>
          <w:numId w:val="0"/>
        </w:numPr>
        <w:adjustRightInd w:val="0"/>
        <w:snapToGrid w:val="0"/>
        <w:spacing w:line="360" w:lineRule="auto"/>
        <w:ind w:firstLine="482" w:firstLineChars="200"/>
        <w:rPr>
          <w:rFonts w:hint="eastAsia" w:cs="宋体" w:asciiTheme="minorEastAsia" w:hAnsiTheme="minorEastAsia" w:eastAsiaTheme="minorEastAsia"/>
          <w:b/>
          <w:bCs/>
          <w:color w:val="auto"/>
          <w:sz w:val="24"/>
          <w:szCs w:val="24"/>
          <w:highlight w:val="none"/>
          <w:lang w:val="en-US" w:eastAsia="zh-CN"/>
        </w:rPr>
      </w:pPr>
      <w:r>
        <w:rPr>
          <w:rFonts w:hint="eastAsia" w:cs="宋体" w:asciiTheme="minorEastAsia" w:hAnsiTheme="minorEastAsia" w:eastAsiaTheme="minorEastAsia"/>
          <w:b/>
          <w:bCs/>
          <w:color w:val="auto"/>
          <w:sz w:val="24"/>
          <w:szCs w:val="24"/>
          <w:highlight w:val="none"/>
          <w:lang w:val="en-US" w:eastAsia="zh-CN"/>
        </w:rPr>
        <w:t>（四）异议</w:t>
      </w:r>
    </w:p>
    <w:p w14:paraId="4424CA83">
      <w:pPr>
        <w:widowControl/>
        <w:numPr>
          <w:ilvl w:val="0"/>
          <w:numId w:val="0"/>
        </w:num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潜在</w:t>
      </w:r>
      <w:r>
        <w:rPr>
          <w:rFonts w:hint="eastAsia" w:ascii="宋体" w:hAnsi="宋体" w:cs="宋体"/>
          <w:color w:val="auto"/>
          <w:sz w:val="24"/>
          <w:highlight w:val="none"/>
          <w:lang w:eastAsia="zh-CN"/>
        </w:rPr>
        <w:t>投标人（供应商）</w:t>
      </w:r>
      <w:r>
        <w:rPr>
          <w:rFonts w:hint="eastAsia" w:ascii="宋体" w:hAnsi="宋体" w:cs="宋体"/>
          <w:color w:val="auto"/>
          <w:sz w:val="24"/>
          <w:highlight w:val="none"/>
        </w:rPr>
        <w:t>对招标文件有异议的，应在投标截止时间2日前提出，</w:t>
      </w:r>
      <w:r>
        <w:rPr>
          <w:rFonts w:hint="eastAsia" w:ascii="宋体" w:hAnsi="宋体" w:cs="宋体"/>
          <w:color w:val="auto"/>
          <w:sz w:val="24"/>
          <w:highlight w:val="none"/>
          <w:lang w:eastAsia="zh-CN"/>
        </w:rPr>
        <w:t>采购方</w:t>
      </w:r>
      <w:r>
        <w:rPr>
          <w:rFonts w:hint="eastAsia" w:ascii="宋体" w:hAnsi="宋体" w:cs="宋体"/>
          <w:color w:val="auto"/>
          <w:sz w:val="24"/>
          <w:highlight w:val="none"/>
        </w:rPr>
        <w:t>应在收到异议之日起1日内答复。</w:t>
      </w:r>
    </w:p>
    <w:p w14:paraId="56D60AC9">
      <w:pPr>
        <w:widowControl/>
        <w:numPr>
          <w:ilvl w:val="0"/>
          <w:numId w:val="0"/>
        </w:numPr>
        <w:adjustRightInd w:val="0"/>
        <w:snapToGrid w:val="0"/>
        <w:spacing w:line="360" w:lineRule="auto"/>
        <w:ind w:firstLine="482" w:firstLineChars="200"/>
        <w:rPr>
          <w:rFonts w:hint="eastAsia" w:ascii="宋体" w:hAnsi="宋体" w:eastAsia="宋体" w:cs="宋体"/>
          <w:b/>
          <w:bCs/>
          <w:color w:val="auto"/>
          <w:sz w:val="28"/>
          <w:szCs w:val="28"/>
          <w:highlight w:val="none"/>
        </w:rPr>
      </w:pPr>
      <w:r>
        <w:rPr>
          <w:rFonts w:hint="eastAsia" w:cs="宋体" w:asciiTheme="minorEastAsia" w:hAnsiTheme="minorEastAsia" w:eastAsiaTheme="minorEastAsia"/>
          <w:b/>
          <w:bCs/>
          <w:color w:val="auto"/>
          <w:sz w:val="24"/>
          <w:szCs w:val="24"/>
          <w:highlight w:val="none"/>
          <w:lang w:val="en-US" w:eastAsia="zh-CN"/>
        </w:rPr>
        <w:t>（五）其他</w:t>
      </w:r>
    </w:p>
    <w:p w14:paraId="1E336E7D">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ascii="宋体" w:hAnsi="宋体" w:cs="宋体"/>
          <w:color w:val="auto"/>
          <w:sz w:val="24"/>
          <w:highlight w:val="none"/>
        </w:rPr>
        <w:t>本项目禁止转包或违法分包，中标人须保证严格遵守建设工程相关管理规定，保证不转包、不违法分包。保证服从业主根据项目实际需要进行的项目规模调整。否则，</w:t>
      </w:r>
      <w:r>
        <w:rPr>
          <w:rFonts w:hint="eastAsia" w:ascii="宋体" w:hAnsi="宋体" w:cs="宋体"/>
          <w:color w:val="auto"/>
          <w:sz w:val="24"/>
          <w:highlight w:val="none"/>
          <w:lang w:eastAsia="zh-CN"/>
        </w:rPr>
        <w:t>采购方</w:t>
      </w:r>
      <w:r>
        <w:rPr>
          <w:rFonts w:ascii="宋体" w:hAnsi="宋体" w:cs="宋体"/>
          <w:color w:val="auto"/>
          <w:sz w:val="24"/>
          <w:highlight w:val="none"/>
        </w:rPr>
        <w:t>有权直接取消中标资格或单方面解除合同，由此引起的一切损失和责任由中标人全部承担。</w:t>
      </w:r>
    </w:p>
    <w:p w14:paraId="599FEE86">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满足资格审查合格条件或通过</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性审查的</w:t>
      </w:r>
      <w:r>
        <w:rPr>
          <w:rFonts w:hint="eastAsia" w:ascii="宋体" w:hAnsi="宋体" w:cs="宋体"/>
          <w:color w:val="auto"/>
          <w:sz w:val="24"/>
          <w:highlight w:val="none"/>
          <w:lang w:eastAsia="zh-CN"/>
        </w:rPr>
        <w:t>投标人（供应商）</w:t>
      </w:r>
      <w:r>
        <w:rPr>
          <w:rFonts w:hint="eastAsia" w:ascii="宋体" w:hAnsi="宋体" w:cs="宋体"/>
          <w:color w:val="auto"/>
          <w:sz w:val="24"/>
          <w:highlight w:val="none"/>
        </w:rPr>
        <w:t>不足3名时为招标失败。</w:t>
      </w:r>
      <w:r>
        <w:rPr>
          <w:rFonts w:hint="eastAsia" w:ascii="宋体" w:hAnsi="宋体" w:cs="宋体"/>
          <w:color w:val="auto"/>
          <w:sz w:val="24"/>
          <w:highlight w:val="none"/>
          <w:lang w:eastAsia="zh-CN"/>
        </w:rPr>
        <w:t>采购方</w:t>
      </w:r>
      <w:r>
        <w:rPr>
          <w:rFonts w:hint="eastAsia" w:ascii="宋体" w:hAnsi="宋体" w:cs="宋体"/>
          <w:color w:val="auto"/>
          <w:sz w:val="24"/>
          <w:highlight w:val="none"/>
        </w:rPr>
        <w:t xml:space="preserve">分析招标失败原因，修正招标方案，重新组织招标。 </w:t>
      </w:r>
    </w:p>
    <w:p w14:paraId="3A26B698">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投标人（供应商）</w:t>
      </w:r>
      <w:r>
        <w:rPr>
          <w:rFonts w:hint="eastAsia" w:ascii="宋体" w:hAnsi="宋体" w:cs="宋体"/>
          <w:color w:val="auto"/>
          <w:sz w:val="24"/>
          <w:highlight w:val="none"/>
        </w:rPr>
        <w:t>和中标候选人的重大变化告知义务</w:t>
      </w:r>
    </w:p>
    <w:p w14:paraId="0E0CF369">
      <w:pPr>
        <w:widowControl/>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投标人（供应商）</w:t>
      </w:r>
      <w:r>
        <w:rPr>
          <w:rFonts w:hint="eastAsia" w:ascii="宋体" w:hAnsi="宋体" w:cs="宋体"/>
          <w:color w:val="auto"/>
          <w:sz w:val="24"/>
          <w:highlight w:val="none"/>
        </w:rPr>
        <w:t>发生可能影响其资格条件或者招标公正性的重大变化、中标候选人的经营、财务状况发生较大变化或者存在违法行为的（包括但不限于：合并、分立、破产、重大财务变化等主要人员变化、被责令关闭、被吊销营业执照、被暂扣安全生产许可证、一定期限内被禁止参加依法必须招标项目的投标等情形），应当及时书面告知</w:t>
      </w:r>
      <w:r>
        <w:rPr>
          <w:rFonts w:hint="eastAsia" w:ascii="宋体" w:hAnsi="宋体" w:cs="宋体"/>
          <w:color w:val="auto"/>
          <w:sz w:val="24"/>
          <w:highlight w:val="none"/>
          <w:lang w:eastAsia="zh-CN"/>
        </w:rPr>
        <w:t>采购方</w:t>
      </w:r>
      <w:r>
        <w:rPr>
          <w:rFonts w:hint="eastAsia" w:ascii="宋体" w:hAnsi="宋体" w:cs="宋体"/>
          <w:color w:val="auto"/>
          <w:sz w:val="24"/>
          <w:highlight w:val="none"/>
        </w:rPr>
        <w:t>。</w:t>
      </w:r>
    </w:p>
    <w:p w14:paraId="0131BD01">
      <w:pPr>
        <w:widowControl/>
        <w:numPr>
          <w:ilvl w:val="0"/>
          <w:numId w:val="0"/>
        </w:numPr>
        <w:adjustRightInd w:val="0"/>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未中标单位经济补偿及补偿金额：</w:t>
      </w:r>
      <w:r>
        <w:rPr>
          <w:rFonts w:hint="eastAsia" w:ascii="宋体" w:hAnsi="宋体" w:cs="宋体"/>
          <w:b/>
          <w:bCs/>
          <w:color w:val="auto"/>
          <w:sz w:val="24"/>
          <w:highlight w:val="none"/>
        </w:rPr>
        <w:t>本招标项目不设投标补偿。</w:t>
      </w:r>
    </w:p>
    <w:p w14:paraId="4CA6EB01">
      <w:pPr>
        <w:widowControl/>
        <w:numPr>
          <w:ilvl w:val="0"/>
          <w:numId w:val="0"/>
        </w:numPr>
        <w:adjustRightInd w:val="0"/>
        <w:snapToGrid w:val="0"/>
        <w:spacing w:line="360" w:lineRule="auto"/>
        <w:ind w:left="0" w:leftChars="0" w:firstLine="422" w:firstLineChars="175"/>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十三</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采购方联系方式</w:t>
      </w:r>
    </w:p>
    <w:p w14:paraId="0E8FC371">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采购方</w:t>
      </w:r>
      <w:r>
        <w:rPr>
          <w:rFonts w:hint="eastAsia" w:cs="宋体" w:asciiTheme="minorEastAsia" w:hAnsiTheme="minorEastAsia" w:eastAsiaTheme="minorEastAsia"/>
          <w:color w:val="auto"/>
          <w:sz w:val="24"/>
          <w:szCs w:val="24"/>
          <w:highlight w:val="none"/>
        </w:rPr>
        <w:t xml:space="preserve">：广州云山翠园商业运营管理有限公司 </w:t>
      </w:r>
    </w:p>
    <w:p w14:paraId="3FCFF9E3">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联系人：官先生</w:t>
      </w:r>
    </w:p>
    <w:p w14:paraId="4E9B5066">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联系电话：020</w:t>
      </w:r>
      <w:r>
        <w:rPr>
          <w:rFonts w:hint="eastAsia" w:cs="宋体" w:asciiTheme="minorEastAsia" w:hAnsiTheme="minorEastAsia" w:eastAsiaTheme="minorEastAsia"/>
          <w:color w:val="auto"/>
          <w:sz w:val="24"/>
          <w:szCs w:val="24"/>
          <w:highlight w:val="none"/>
          <w:lang w:val="en-US" w:eastAsia="zh-CN"/>
        </w:rPr>
        <w:t>-</w:t>
      </w:r>
      <w:r>
        <w:rPr>
          <w:rFonts w:hint="eastAsia" w:cs="宋体" w:asciiTheme="minorEastAsia" w:hAnsiTheme="minorEastAsia" w:eastAsiaTheme="minorEastAsia"/>
          <w:color w:val="auto"/>
          <w:sz w:val="24"/>
          <w:szCs w:val="24"/>
          <w:highlight w:val="none"/>
        </w:rPr>
        <w:t>83328287</w:t>
      </w:r>
    </w:p>
    <w:p w14:paraId="67D9C4B5">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联系地址：广州市越秀区解放北路899号408室</w:t>
      </w:r>
    </w:p>
    <w:p w14:paraId="34D5E22F">
      <w:pPr>
        <w:widowControl/>
        <w:numPr>
          <w:ilvl w:val="0"/>
          <w:numId w:val="0"/>
        </w:numPr>
        <w:adjustRightInd w:val="0"/>
        <w:snapToGrid w:val="0"/>
        <w:spacing w:line="360" w:lineRule="auto"/>
        <w:ind w:left="0" w:leftChars="0" w:firstLine="422" w:firstLineChars="175"/>
        <w:rPr>
          <w:rFonts w:hint="eastAsia" w:cs="宋体" w:asciiTheme="minorEastAsia" w:hAnsiTheme="minorEastAsia" w:eastAsiaTheme="minorEastAsia"/>
          <w:b/>
          <w:bCs/>
          <w:color w:val="auto"/>
          <w:sz w:val="24"/>
          <w:szCs w:val="24"/>
          <w:highlight w:val="none"/>
          <w:lang w:val="en-US" w:eastAsia="zh-CN"/>
        </w:rPr>
      </w:pPr>
      <w:r>
        <w:rPr>
          <w:rFonts w:hint="eastAsia" w:cs="宋体" w:asciiTheme="minorEastAsia" w:hAnsiTheme="minorEastAsia" w:eastAsiaTheme="minorEastAsia"/>
          <w:b/>
          <w:bCs/>
          <w:color w:val="auto"/>
          <w:sz w:val="24"/>
          <w:szCs w:val="24"/>
          <w:highlight w:val="none"/>
          <w:lang w:val="en-US" w:eastAsia="zh-CN"/>
        </w:rPr>
        <w:t>十四、采购代理机构联系方式</w:t>
      </w:r>
    </w:p>
    <w:p w14:paraId="14B639CA">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采购代理机构</w:t>
      </w:r>
      <w:r>
        <w:rPr>
          <w:rFonts w:hint="eastAsia" w:cs="宋体" w:asciiTheme="minorEastAsia" w:hAnsiTheme="minorEastAsia" w:eastAsiaTheme="minorEastAsia"/>
          <w:color w:val="auto"/>
          <w:sz w:val="24"/>
          <w:szCs w:val="24"/>
          <w:highlight w:val="none"/>
        </w:rPr>
        <w:t>：广州市云兴建设工程监理有限公司</w:t>
      </w:r>
    </w:p>
    <w:p w14:paraId="64B99A95">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联系人：岑工</w:t>
      </w:r>
    </w:p>
    <w:p w14:paraId="6D25C468">
      <w:pPr>
        <w:numPr>
          <w:ilvl w:val="255"/>
          <w:numId w:val="0"/>
        </w:numPr>
        <w:spacing w:line="360" w:lineRule="auto"/>
        <w:ind w:left="420" w:leftChars="200"/>
        <w:jc w:val="both"/>
        <w:rPr>
          <w:rFonts w:hint="eastAsia" w:ascii="宋体" w:hAnsi="宋体" w:cs="宋体"/>
          <w:b/>
          <w:bCs/>
          <w:color w:val="auto"/>
          <w:sz w:val="24"/>
          <w:szCs w:val="24"/>
          <w:highlight w:val="none"/>
        </w:rPr>
      </w:pPr>
      <w:r>
        <w:rPr>
          <w:rFonts w:hint="eastAsia" w:cs="宋体" w:asciiTheme="minorEastAsia" w:hAnsiTheme="minorEastAsia" w:eastAsiaTheme="minorEastAsia"/>
          <w:color w:val="auto"/>
          <w:sz w:val="24"/>
          <w:szCs w:val="24"/>
          <w:highlight w:val="none"/>
        </w:rPr>
        <w:t>联系电话：020-83851835</w:t>
      </w:r>
    </w:p>
    <w:p w14:paraId="592736A5">
      <w:pPr>
        <w:numPr>
          <w:ilvl w:val="255"/>
          <w:numId w:val="0"/>
        </w:numPr>
        <w:spacing w:line="360" w:lineRule="auto"/>
        <w:ind w:left="420" w:leftChars="20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联系地址：广州市</w:t>
      </w:r>
      <w:r>
        <w:rPr>
          <w:rFonts w:hint="eastAsia" w:cs="宋体" w:asciiTheme="minorEastAsia" w:hAnsiTheme="minorEastAsia" w:eastAsiaTheme="minorEastAsia"/>
          <w:color w:val="auto"/>
          <w:sz w:val="24"/>
          <w:szCs w:val="24"/>
          <w:highlight w:val="none"/>
          <w:lang w:val="en-US" w:eastAsia="zh-CN"/>
        </w:rPr>
        <w:t>白云区</w:t>
      </w:r>
      <w:r>
        <w:rPr>
          <w:rFonts w:hint="eastAsia" w:cs="宋体" w:asciiTheme="minorEastAsia" w:hAnsiTheme="minorEastAsia" w:eastAsiaTheme="minorEastAsia"/>
          <w:color w:val="auto"/>
          <w:sz w:val="24"/>
          <w:szCs w:val="24"/>
          <w:highlight w:val="none"/>
        </w:rPr>
        <w:t>下塘西路686号302室</w:t>
      </w:r>
    </w:p>
    <w:p w14:paraId="43D6D7E4">
      <w:pPr>
        <w:spacing w:line="360" w:lineRule="auto"/>
        <w:ind w:firstLine="480" w:firstLineChars="200"/>
        <w:jc w:val="right"/>
        <w:rPr>
          <w:rFonts w:hint="eastAsia" w:cs="宋体" w:asciiTheme="minorEastAsia" w:hAnsiTheme="minorEastAsia" w:eastAsiaTheme="minorEastAsia"/>
          <w:color w:val="auto"/>
          <w:sz w:val="24"/>
          <w:szCs w:val="24"/>
          <w:highlight w:val="none"/>
          <w:lang w:val="en-US" w:eastAsia="zh-CN"/>
        </w:rPr>
      </w:pPr>
    </w:p>
    <w:p w14:paraId="472050FB">
      <w:pPr>
        <w:spacing w:line="360" w:lineRule="auto"/>
        <w:ind w:firstLine="480" w:firstLineChars="200"/>
        <w:jc w:val="righ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采购方：</w:t>
      </w:r>
      <w:r>
        <w:rPr>
          <w:rFonts w:hint="eastAsia" w:cs="宋体" w:asciiTheme="minorEastAsia" w:hAnsiTheme="minorEastAsia" w:eastAsiaTheme="minorEastAsia"/>
          <w:color w:val="auto"/>
          <w:sz w:val="24"/>
          <w:szCs w:val="24"/>
          <w:highlight w:val="none"/>
        </w:rPr>
        <w:t xml:space="preserve">广州云山翠园商业运营管理有限公司 </w:t>
      </w:r>
    </w:p>
    <w:p w14:paraId="7FB254B2">
      <w:pPr>
        <w:spacing w:line="360" w:lineRule="auto"/>
        <w:ind w:firstLine="500" w:firstLineChars="200"/>
        <w:jc w:val="right"/>
        <w:rPr>
          <w:rFonts w:hint="eastAsia" w:cs="宋体" w:asciiTheme="minorEastAsia" w:hAnsiTheme="minorEastAsia" w:eastAsiaTheme="minorEastAsia"/>
          <w:color w:val="auto"/>
          <w:sz w:val="24"/>
          <w:szCs w:val="24"/>
          <w:highlight w:val="none"/>
        </w:rPr>
      </w:pPr>
      <w:r>
        <w:rPr>
          <w:rFonts w:hint="eastAsia" w:ascii="仿宋" w:hAnsi="仿宋" w:eastAsia="仿宋" w:cs="仿宋"/>
          <w:i w:val="0"/>
          <w:iCs w:val="0"/>
          <w:caps w:val="0"/>
          <w:color w:val="000000"/>
          <w:spacing w:val="0"/>
          <w:sz w:val="25"/>
          <w:szCs w:val="25"/>
        </w:rPr>
        <w:t>采购代理机构：</w:t>
      </w:r>
      <w:r>
        <w:rPr>
          <w:rFonts w:hint="eastAsia" w:cs="宋体" w:asciiTheme="minorEastAsia" w:hAnsiTheme="minorEastAsia" w:eastAsiaTheme="minorEastAsia"/>
          <w:color w:val="auto"/>
          <w:sz w:val="24"/>
          <w:szCs w:val="24"/>
          <w:highlight w:val="none"/>
        </w:rPr>
        <w:t>广州市云兴建设工程监理有限公司</w:t>
      </w:r>
    </w:p>
    <w:p w14:paraId="5C08F388">
      <w:pPr>
        <w:wordWrap w:val="0"/>
        <w:ind w:firstLine="6240" w:firstLineChars="2600"/>
        <w:jc w:val="both"/>
        <w:rPr>
          <w:rFonts w:hint="eastAsia" w:cs="宋体" w:asciiTheme="minorEastAsia" w:hAnsiTheme="minorEastAsia" w:eastAsiaTheme="minorEastAsia"/>
          <w:b w:val="0"/>
          <w:bCs w:val="0"/>
          <w:color w:val="auto"/>
          <w:sz w:val="24"/>
          <w:szCs w:val="24"/>
          <w:highlight w:val="none"/>
        </w:rPr>
      </w:pPr>
      <w:r>
        <w:rPr>
          <w:rFonts w:hint="eastAsia" w:cs="宋体" w:asciiTheme="minorEastAsia" w:hAnsiTheme="minorEastAsia" w:eastAsiaTheme="minorEastAsia"/>
          <w:b w:val="0"/>
          <w:bCs w:val="0"/>
          <w:color w:val="auto"/>
          <w:sz w:val="24"/>
          <w:szCs w:val="24"/>
          <w:highlight w:val="none"/>
          <w:lang w:eastAsia="zh-CN"/>
        </w:rPr>
        <w:t>2025</w:t>
      </w:r>
      <w:r>
        <w:rPr>
          <w:rFonts w:hint="eastAsia" w:cs="宋体" w:asciiTheme="minorEastAsia" w:hAnsiTheme="minorEastAsia" w:eastAsiaTheme="minorEastAsia"/>
          <w:b w:val="0"/>
          <w:bCs w:val="0"/>
          <w:color w:val="auto"/>
          <w:sz w:val="24"/>
          <w:szCs w:val="24"/>
          <w:highlight w:val="none"/>
        </w:rPr>
        <w:t>年</w:t>
      </w:r>
      <w:r>
        <w:rPr>
          <w:rFonts w:hint="eastAsia" w:cs="宋体" w:asciiTheme="minorEastAsia" w:hAnsiTheme="minorEastAsia" w:eastAsiaTheme="minorEastAsia"/>
          <w:b w:val="0"/>
          <w:bCs w:val="0"/>
          <w:color w:val="auto"/>
          <w:sz w:val="24"/>
          <w:szCs w:val="24"/>
          <w:highlight w:val="none"/>
          <w:lang w:val="en-US" w:eastAsia="zh-CN"/>
        </w:rPr>
        <w:t>5</w:t>
      </w:r>
      <w:r>
        <w:rPr>
          <w:rFonts w:hint="eastAsia" w:cs="宋体" w:asciiTheme="minorEastAsia" w:hAnsiTheme="minorEastAsia" w:eastAsiaTheme="minorEastAsia"/>
          <w:b w:val="0"/>
          <w:bCs w:val="0"/>
          <w:color w:val="auto"/>
          <w:sz w:val="24"/>
          <w:szCs w:val="24"/>
          <w:highlight w:val="none"/>
        </w:rPr>
        <w:t>月</w:t>
      </w:r>
      <w:r>
        <w:rPr>
          <w:rFonts w:hint="eastAsia" w:cs="宋体" w:asciiTheme="minorEastAsia" w:hAnsiTheme="minorEastAsia" w:eastAsiaTheme="minorEastAsia"/>
          <w:b w:val="0"/>
          <w:bCs w:val="0"/>
          <w:color w:val="auto"/>
          <w:sz w:val="24"/>
          <w:szCs w:val="24"/>
          <w:highlight w:val="none"/>
          <w:lang w:val="en-US" w:eastAsia="zh-CN"/>
        </w:rPr>
        <w:t>30</w:t>
      </w:r>
      <w:r>
        <w:rPr>
          <w:rFonts w:hint="eastAsia" w:cs="宋体" w:asciiTheme="minorEastAsia" w:hAnsiTheme="minorEastAsia" w:eastAsiaTheme="minorEastAsia"/>
          <w:b w:val="0"/>
          <w:bCs w:val="0"/>
          <w:color w:val="auto"/>
          <w:sz w:val="24"/>
          <w:szCs w:val="24"/>
          <w:highlight w:val="none"/>
        </w:rPr>
        <w:t>日</w:t>
      </w:r>
    </w:p>
    <w:p w14:paraId="43AE6F0C">
      <w:pPr>
        <w:rPr>
          <w:rFonts w:hint="eastAsia" w:cs="宋体" w:asciiTheme="minorEastAsia" w:hAnsiTheme="minorEastAsia" w:eastAsiaTheme="minorEastAsia"/>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0" w:h="16838"/>
          <w:pgMar w:top="1440" w:right="1440" w:bottom="1440" w:left="1440" w:header="850" w:footer="850" w:gutter="0"/>
          <w:cols w:space="0" w:num="1"/>
        </w:sectPr>
      </w:pPr>
    </w:p>
    <w:tbl>
      <w:tblPr>
        <w:tblStyle w:val="5"/>
        <w:tblW w:w="14520" w:type="dxa"/>
        <w:jc w:val="center"/>
        <w:tblLayout w:type="fixed"/>
        <w:tblCellMar>
          <w:top w:w="0" w:type="dxa"/>
          <w:left w:w="108" w:type="dxa"/>
          <w:bottom w:w="0" w:type="dxa"/>
          <w:right w:w="108" w:type="dxa"/>
        </w:tblCellMar>
      </w:tblPr>
      <w:tblGrid>
        <w:gridCol w:w="680"/>
        <w:gridCol w:w="1520"/>
        <w:gridCol w:w="3080"/>
        <w:gridCol w:w="3080"/>
        <w:gridCol w:w="3080"/>
        <w:gridCol w:w="3080"/>
      </w:tblGrid>
      <w:tr w14:paraId="4E30A6A1">
        <w:trPr>
          <w:trHeight w:val="735" w:hRule="atLeast"/>
          <w:jc w:val="center"/>
        </w:trPr>
        <w:tc>
          <w:tcPr>
            <w:tcW w:w="14520" w:type="dxa"/>
            <w:gridSpan w:val="6"/>
            <w:tcBorders>
              <w:top w:val="nil"/>
              <w:left w:val="nil"/>
              <w:bottom w:val="nil"/>
              <w:right w:val="nil"/>
            </w:tcBorders>
            <w:noWrap/>
            <w:vAlign w:val="center"/>
          </w:tcPr>
          <w:p w14:paraId="15352490">
            <w:pP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附件一 </w:t>
            </w:r>
          </w:p>
          <w:p w14:paraId="32C86DFF">
            <w:pPr>
              <w:jc w:val="center"/>
              <w:rPr>
                <w:rFonts w:hint="eastAsia" w:ascii="仿宋" w:hAnsi="仿宋" w:eastAsia="仿宋" w:cs="宋体"/>
                <w:b/>
                <w:bCs/>
                <w:color w:val="auto"/>
                <w:sz w:val="40"/>
                <w:szCs w:val="40"/>
                <w:highlight w:val="none"/>
              </w:rPr>
            </w:pPr>
            <w:r>
              <w:rPr>
                <w:rFonts w:hint="eastAsia" w:ascii="仿宋" w:hAnsi="仿宋" w:eastAsia="仿宋" w:cs="宋体"/>
                <w:b/>
                <w:bCs/>
                <w:color w:val="auto"/>
                <w:sz w:val="40"/>
                <w:szCs w:val="40"/>
                <w:highlight w:val="none"/>
                <w:lang w:eastAsia="zh-CN"/>
              </w:rPr>
              <w:t>招标文件</w:t>
            </w:r>
            <w:r>
              <w:rPr>
                <w:rFonts w:hint="eastAsia" w:ascii="仿宋" w:hAnsi="仿宋" w:eastAsia="仿宋" w:cs="宋体"/>
                <w:b/>
                <w:bCs/>
                <w:color w:val="auto"/>
                <w:sz w:val="40"/>
                <w:szCs w:val="40"/>
                <w:highlight w:val="none"/>
              </w:rPr>
              <w:t>登记表</w:t>
            </w:r>
          </w:p>
        </w:tc>
      </w:tr>
      <w:tr w14:paraId="689C8481">
        <w:tblPrEx>
          <w:tblCellMar>
            <w:top w:w="0" w:type="dxa"/>
            <w:left w:w="108" w:type="dxa"/>
            <w:bottom w:w="0" w:type="dxa"/>
            <w:right w:w="108" w:type="dxa"/>
          </w:tblCellMar>
        </w:tblPrEx>
        <w:trPr>
          <w:trHeight w:val="702" w:hRule="atLeast"/>
          <w:jc w:val="center"/>
        </w:trPr>
        <w:tc>
          <w:tcPr>
            <w:tcW w:w="2200" w:type="dxa"/>
            <w:gridSpan w:val="2"/>
            <w:tcBorders>
              <w:top w:val="single" w:color="auto" w:sz="4" w:space="0"/>
              <w:left w:val="single" w:color="auto" w:sz="4" w:space="0"/>
              <w:bottom w:val="single" w:color="auto" w:sz="4" w:space="0"/>
              <w:right w:val="single" w:color="auto" w:sz="4" w:space="0"/>
            </w:tcBorders>
            <w:noWrap/>
            <w:vAlign w:val="center"/>
          </w:tcPr>
          <w:p w14:paraId="3B7543E8">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项目名称</w:t>
            </w:r>
          </w:p>
        </w:tc>
        <w:tc>
          <w:tcPr>
            <w:tcW w:w="6160" w:type="dxa"/>
            <w:gridSpan w:val="2"/>
            <w:tcBorders>
              <w:top w:val="single" w:color="auto" w:sz="4" w:space="0"/>
              <w:left w:val="nil"/>
              <w:bottom w:val="single" w:color="auto" w:sz="4" w:space="0"/>
              <w:right w:val="single" w:color="auto" w:sz="4" w:space="0"/>
            </w:tcBorders>
            <w:noWrap/>
            <w:vAlign w:val="center"/>
          </w:tcPr>
          <w:p w14:paraId="1CBAF7D2">
            <w:pPr>
              <w:jc w:val="center"/>
              <w:rPr>
                <w:rFonts w:hint="eastAsia" w:ascii="仿宋" w:hAnsi="仿宋" w:eastAsia="仿宋" w:cs="宋体"/>
                <w:bCs/>
                <w:color w:val="auto"/>
                <w:highlight w:val="none"/>
              </w:rPr>
            </w:pPr>
            <w:r>
              <w:rPr>
                <w:rFonts w:hint="eastAsia" w:ascii="仿宋" w:hAnsi="仿宋" w:eastAsia="仿宋" w:cs="宋体"/>
                <w:bCs/>
                <w:color w:val="auto"/>
                <w:highlight w:val="none"/>
                <w:lang w:eastAsia="zh-CN"/>
              </w:rPr>
              <w:t>广州市白云山翠竹园项目全过程造价咨询服务</w:t>
            </w:r>
          </w:p>
        </w:tc>
        <w:tc>
          <w:tcPr>
            <w:tcW w:w="3080" w:type="dxa"/>
            <w:tcBorders>
              <w:top w:val="single" w:color="auto" w:sz="4" w:space="0"/>
              <w:left w:val="nil"/>
              <w:bottom w:val="single" w:color="auto" w:sz="4" w:space="0"/>
              <w:right w:val="single" w:color="auto" w:sz="4" w:space="0"/>
            </w:tcBorders>
            <w:noWrap/>
            <w:vAlign w:val="center"/>
          </w:tcPr>
          <w:p w14:paraId="4BC1F347">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获取文件日期</w:t>
            </w:r>
          </w:p>
        </w:tc>
        <w:tc>
          <w:tcPr>
            <w:tcW w:w="3080" w:type="dxa"/>
            <w:tcBorders>
              <w:top w:val="single" w:color="auto" w:sz="4" w:space="0"/>
              <w:left w:val="nil"/>
              <w:bottom w:val="single" w:color="auto" w:sz="4" w:space="0"/>
              <w:right w:val="single" w:color="auto" w:sz="4" w:space="0"/>
            </w:tcBorders>
            <w:noWrap/>
            <w:vAlign w:val="center"/>
          </w:tcPr>
          <w:p w14:paraId="6A9EC946">
            <w:pPr>
              <w:jc w:val="center"/>
              <w:rPr>
                <w:rFonts w:hint="eastAsia" w:ascii="仿宋" w:hAnsi="仿宋" w:eastAsia="仿宋" w:cs="宋体"/>
                <w:bCs/>
                <w:color w:val="auto"/>
                <w:highlight w:val="none"/>
              </w:rPr>
            </w:pPr>
            <w:r>
              <w:rPr>
                <w:rFonts w:hint="eastAsia" w:ascii="仿宋" w:hAnsi="仿宋" w:eastAsia="仿宋" w:cs="宋体"/>
                <w:bCs/>
                <w:color w:val="auto"/>
                <w:highlight w:val="none"/>
                <w:lang w:eastAsia="zh-CN"/>
              </w:rPr>
              <w:t>2025</w:t>
            </w:r>
            <w:r>
              <w:rPr>
                <w:rFonts w:hint="eastAsia" w:ascii="仿宋" w:hAnsi="仿宋" w:eastAsia="仿宋" w:cs="宋体"/>
                <w:bCs/>
                <w:color w:val="auto"/>
                <w:highlight w:val="none"/>
              </w:rPr>
              <w:t>年   月   日</w:t>
            </w:r>
          </w:p>
        </w:tc>
      </w:tr>
      <w:tr w14:paraId="37911907">
        <w:tblPrEx>
          <w:tblCellMar>
            <w:top w:w="0" w:type="dxa"/>
            <w:left w:w="108" w:type="dxa"/>
            <w:bottom w:w="0" w:type="dxa"/>
            <w:right w:w="108" w:type="dxa"/>
          </w:tblCellMar>
        </w:tblPrEx>
        <w:trPr>
          <w:trHeight w:val="702" w:hRule="atLeast"/>
          <w:jc w:val="center"/>
        </w:trPr>
        <w:tc>
          <w:tcPr>
            <w:tcW w:w="680" w:type="dxa"/>
            <w:vMerge w:val="restart"/>
            <w:tcBorders>
              <w:top w:val="nil"/>
              <w:left w:val="single" w:color="auto" w:sz="4" w:space="0"/>
              <w:bottom w:val="single" w:color="auto" w:sz="4" w:space="0"/>
              <w:right w:val="single" w:color="auto" w:sz="4" w:space="0"/>
            </w:tcBorders>
            <w:noWrap/>
            <w:vAlign w:val="center"/>
          </w:tcPr>
          <w:p w14:paraId="10452078">
            <w:pPr>
              <w:jc w:val="center"/>
              <w:rPr>
                <w:rFonts w:hint="eastAsia" w:ascii="仿宋" w:hAnsi="仿宋" w:eastAsia="仿宋" w:cs="宋体"/>
                <w:bCs/>
                <w:color w:val="auto"/>
                <w:highlight w:val="none"/>
                <w:lang w:val="en-US" w:eastAsia="zh-CN"/>
              </w:rPr>
            </w:pPr>
            <w:r>
              <w:rPr>
                <w:rFonts w:hint="eastAsia" w:ascii="仿宋" w:hAnsi="仿宋" w:eastAsia="仿宋" w:cs="宋体"/>
                <w:bCs/>
                <w:color w:val="auto"/>
                <w:highlight w:val="none"/>
                <w:lang w:val="en-US" w:eastAsia="zh-CN"/>
              </w:rPr>
              <w:t>投</w:t>
            </w:r>
          </w:p>
          <w:p w14:paraId="244B4584">
            <w:pPr>
              <w:jc w:val="center"/>
              <w:rPr>
                <w:rFonts w:hint="eastAsia" w:ascii="仿宋" w:hAnsi="仿宋" w:eastAsia="仿宋" w:cs="宋体"/>
                <w:bCs/>
                <w:color w:val="auto"/>
                <w:highlight w:val="none"/>
                <w:lang w:eastAsia="zh-CN"/>
              </w:rPr>
            </w:pPr>
            <w:r>
              <w:rPr>
                <w:rFonts w:hint="eastAsia" w:ascii="仿宋" w:hAnsi="仿宋" w:eastAsia="仿宋" w:cs="宋体"/>
                <w:bCs/>
                <w:color w:val="auto"/>
                <w:highlight w:val="none"/>
                <w:lang w:val="en-US" w:eastAsia="zh-CN"/>
              </w:rPr>
              <w:t>标</w:t>
            </w:r>
          </w:p>
          <w:p w14:paraId="76B697D1">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人  资   料</w:t>
            </w:r>
          </w:p>
        </w:tc>
        <w:tc>
          <w:tcPr>
            <w:tcW w:w="1520" w:type="dxa"/>
            <w:tcBorders>
              <w:top w:val="nil"/>
              <w:left w:val="nil"/>
              <w:bottom w:val="single" w:color="auto" w:sz="4" w:space="0"/>
              <w:right w:val="single" w:color="auto" w:sz="4" w:space="0"/>
            </w:tcBorders>
            <w:noWrap/>
            <w:vAlign w:val="center"/>
          </w:tcPr>
          <w:p w14:paraId="55EB15F9">
            <w:pPr>
              <w:jc w:val="center"/>
              <w:rPr>
                <w:rFonts w:hint="eastAsia" w:ascii="仿宋" w:hAnsi="仿宋" w:eastAsia="仿宋" w:cs="宋体"/>
                <w:bCs/>
                <w:color w:val="auto"/>
                <w:highlight w:val="none"/>
              </w:rPr>
            </w:pPr>
            <w:r>
              <w:rPr>
                <w:rFonts w:hint="eastAsia" w:ascii="仿宋" w:hAnsi="仿宋" w:eastAsia="仿宋" w:cs="宋体"/>
                <w:bCs/>
                <w:color w:val="auto"/>
                <w:highlight w:val="none"/>
                <w:lang w:eastAsia="zh-CN"/>
              </w:rPr>
              <w:t>投标人（供应商）</w:t>
            </w:r>
            <w:r>
              <w:rPr>
                <w:rFonts w:hint="eastAsia" w:ascii="仿宋" w:hAnsi="仿宋" w:eastAsia="仿宋" w:cs="宋体"/>
                <w:bCs/>
                <w:color w:val="auto"/>
                <w:highlight w:val="none"/>
              </w:rPr>
              <w:t>名称</w:t>
            </w:r>
          </w:p>
        </w:tc>
        <w:tc>
          <w:tcPr>
            <w:tcW w:w="6160" w:type="dxa"/>
            <w:gridSpan w:val="2"/>
            <w:tcBorders>
              <w:top w:val="single" w:color="auto" w:sz="4" w:space="0"/>
              <w:left w:val="nil"/>
              <w:bottom w:val="single" w:color="auto" w:sz="4" w:space="0"/>
              <w:right w:val="single" w:color="auto" w:sz="4" w:space="0"/>
            </w:tcBorders>
            <w:noWrap/>
            <w:vAlign w:val="center"/>
          </w:tcPr>
          <w:p w14:paraId="36B6E4C6">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　</w:t>
            </w:r>
          </w:p>
        </w:tc>
        <w:tc>
          <w:tcPr>
            <w:tcW w:w="3080" w:type="dxa"/>
            <w:tcBorders>
              <w:top w:val="nil"/>
              <w:left w:val="nil"/>
              <w:bottom w:val="single" w:color="auto" w:sz="4" w:space="0"/>
              <w:right w:val="single" w:color="auto" w:sz="4" w:space="0"/>
            </w:tcBorders>
            <w:noWrap/>
            <w:vAlign w:val="center"/>
          </w:tcPr>
          <w:p w14:paraId="21734850">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文件价格（元/套）</w:t>
            </w:r>
          </w:p>
        </w:tc>
        <w:tc>
          <w:tcPr>
            <w:tcW w:w="3080" w:type="dxa"/>
            <w:tcBorders>
              <w:top w:val="nil"/>
              <w:left w:val="nil"/>
              <w:bottom w:val="single" w:color="auto" w:sz="4" w:space="0"/>
              <w:right w:val="single" w:color="auto" w:sz="4" w:space="0"/>
            </w:tcBorders>
            <w:noWrap/>
            <w:vAlign w:val="center"/>
          </w:tcPr>
          <w:p w14:paraId="5EA9EA5F">
            <w:pPr>
              <w:jc w:val="center"/>
              <w:rPr>
                <w:rFonts w:hint="eastAsia" w:ascii="仿宋" w:hAnsi="仿宋" w:eastAsia="仿宋" w:cs="宋体"/>
                <w:color w:val="auto"/>
                <w:highlight w:val="none"/>
                <w:u w:val="single"/>
              </w:rPr>
            </w:pPr>
            <w:r>
              <w:rPr>
                <w:rFonts w:hint="eastAsia" w:ascii="仿宋" w:hAnsi="仿宋" w:eastAsia="仿宋" w:cs="宋体"/>
                <w:color w:val="auto"/>
                <w:highlight w:val="none"/>
                <w:u w:val="single"/>
              </w:rPr>
              <w:t>300元</w:t>
            </w:r>
          </w:p>
        </w:tc>
      </w:tr>
      <w:tr w14:paraId="2F444A6D">
        <w:tblPrEx>
          <w:tblCellMar>
            <w:top w:w="0" w:type="dxa"/>
            <w:left w:w="108" w:type="dxa"/>
            <w:bottom w:w="0" w:type="dxa"/>
            <w:right w:w="108" w:type="dxa"/>
          </w:tblCellMar>
        </w:tblPrEx>
        <w:trPr>
          <w:trHeight w:val="702" w:hRule="atLeast"/>
          <w:jc w:val="center"/>
        </w:trPr>
        <w:tc>
          <w:tcPr>
            <w:tcW w:w="680" w:type="dxa"/>
            <w:vMerge w:val="continue"/>
            <w:tcBorders>
              <w:top w:val="nil"/>
              <w:left w:val="single" w:color="auto" w:sz="4" w:space="0"/>
              <w:bottom w:val="single" w:color="auto" w:sz="4" w:space="0"/>
              <w:right w:val="single" w:color="auto" w:sz="4" w:space="0"/>
            </w:tcBorders>
            <w:noWrap/>
            <w:vAlign w:val="center"/>
          </w:tcPr>
          <w:p w14:paraId="5479E534">
            <w:pPr>
              <w:rPr>
                <w:rFonts w:hint="eastAsia" w:ascii="仿宋" w:hAnsi="仿宋" w:eastAsia="仿宋" w:cs="宋体"/>
                <w:bCs/>
                <w:color w:val="auto"/>
                <w:highlight w:val="none"/>
              </w:rPr>
            </w:pPr>
          </w:p>
        </w:tc>
        <w:tc>
          <w:tcPr>
            <w:tcW w:w="1520" w:type="dxa"/>
            <w:tcBorders>
              <w:top w:val="nil"/>
              <w:left w:val="nil"/>
              <w:bottom w:val="single" w:color="auto" w:sz="4" w:space="0"/>
              <w:right w:val="single" w:color="auto" w:sz="4" w:space="0"/>
            </w:tcBorders>
            <w:noWrap/>
            <w:vAlign w:val="center"/>
          </w:tcPr>
          <w:p w14:paraId="635AD68D">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地址</w:t>
            </w:r>
          </w:p>
        </w:tc>
        <w:tc>
          <w:tcPr>
            <w:tcW w:w="6160" w:type="dxa"/>
            <w:gridSpan w:val="2"/>
            <w:tcBorders>
              <w:top w:val="single" w:color="auto" w:sz="4" w:space="0"/>
              <w:left w:val="nil"/>
              <w:bottom w:val="single" w:color="auto" w:sz="4" w:space="0"/>
              <w:right w:val="single" w:color="auto" w:sz="4" w:space="0"/>
            </w:tcBorders>
            <w:noWrap/>
            <w:vAlign w:val="center"/>
          </w:tcPr>
          <w:p w14:paraId="2EE5D72F">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　</w:t>
            </w:r>
          </w:p>
        </w:tc>
        <w:tc>
          <w:tcPr>
            <w:tcW w:w="3080" w:type="dxa"/>
            <w:tcBorders>
              <w:top w:val="nil"/>
              <w:left w:val="nil"/>
              <w:bottom w:val="single" w:color="auto" w:sz="4" w:space="0"/>
              <w:right w:val="single" w:color="auto" w:sz="4" w:space="0"/>
            </w:tcBorders>
            <w:noWrap/>
            <w:vAlign w:val="center"/>
          </w:tcPr>
          <w:p w14:paraId="427CF87F">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邮编</w:t>
            </w:r>
          </w:p>
        </w:tc>
        <w:tc>
          <w:tcPr>
            <w:tcW w:w="3080" w:type="dxa"/>
            <w:tcBorders>
              <w:top w:val="nil"/>
              <w:left w:val="nil"/>
              <w:bottom w:val="single" w:color="auto" w:sz="4" w:space="0"/>
              <w:right w:val="single" w:color="auto" w:sz="4" w:space="0"/>
            </w:tcBorders>
            <w:noWrap/>
            <w:vAlign w:val="center"/>
          </w:tcPr>
          <w:p w14:paraId="4F55F27B">
            <w:pPr>
              <w:jc w:val="center"/>
              <w:rPr>
                <w:rFonts w:hint="eastAsia" w:ascii="仿宋" w:hAnsi="仿宋" w:eastAsia="仿宋" w:cs="宋体"/>
                <w:color w:val="auto"/>
                <w:highlight w:val="none"/>
                <w:u w:val="single"/>
              </w:rPr>
            </w:pPr>
            <w:r>
              <w:rPr>
                <w:rFonts w:hint="eastAsia" w:ascii="仿宋" w:hAnsi="仿宋" w:eastAsia="仿宋" w:cs="宋体"/>
                <w:color w:val="auto"/>
                <w:highlight w:val="none"/>
                <w:u w:val="single"/>
              </w:rPr>
              <w:t>　</w:t>
            </w:r>
          </w:p>
        </w:tc>
      </w:tr>
      <w:tr w14:paraId="07A826DF">
        <w:tblPrEx>
          <w:tblCellMar>
            <w:top w:w="0" w:type="dxa"/>
            <w:left w:w="108" w:type="dxa"/>
            <w:bottom w:w="0" w:type="dxa"/>
            <w:right w:w="108" w:type="dxa"/>
          </w:tblCellMar>
        </w:tblPrEx>
        <w:trPr>
          <w:trHeight w:val="702" w:hRule="atLeast"/>
          <w:jc w:val="center"/>
        </w:trPr>
        <w:tc>
          <w:tcPr>
            <w:tcW w:w="680" w:type="dxa"/>
            <w:vMerge w:val="continue"/>
            <w:tcBorders>
              <w:top w:val="nil"/>
              <w:left w:val="single" w:color="auto" w:sz="4" w:space="0"/>
              <w:bottom w:val="single" w:color="auto" w:sz="4" w:space="0"/>
              <w:right w:val="single" w:color="auto" w:sz="4" w:space="0"/>
            </w:tcBorders>
            <w:noWrap/>
            <w:vAlign w:val="center"/>
          </w:tcPr>
          <w:p w14:paraId="69E80718">
            <w:pPr>
              <w:rPr>
                <w:rFonts w:hint="eastAsia" w:ascii="仿宋" w:hAnsi="仿宋" w:eastAsia="仿宋" w:cs="宋体"/>
                <w:bCs/>
                <w:color w:val="auto"/>
                <w:highlight w:val="none"/>
              </w:rPr>
            </w:pPr>
          </w:p>
        </w:tc>
        <w:tc>
          <w:tcPr>
            <w:tcW w:w="1520" w:type="dxa"/>
            <w:vMerge w:val="restart"/>
            <w:tcBorders>
              <w:top w:val="nil"/>
              <w:left w:val="single" w:color="auto" w:sz="4" w:space="0"/>
              <w:bottom w:val="single" w:color="auto" w:sz="4" w:space="0"/>
              <w:right w:val="single" w:color="auto" w:sz="4" w:space="0"/>
            </w:tcBorders>
            <w:noWrap/>
            <w:vAlign w:val="center"/>
          </w:tcPr>
          <w:p w14:paraId="05651936">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联系人</w:t>
            </w:r>
          </w:p>
        </w:tc>
        <w:tc>
          <w:tcPr>
            <w:tcW w:w="3080" w:type="dxa"/>
            <w:tcBorders>
              <w:top w:val="nil"/>
              <w:left w:val="nil"/>
              <w:bottom w:val="single" w:color="auto" w:sz="4" w:space="0"/>
              <w:right w:val="single" w:color="auto" w:sz="4" w:space="0"/>
            </w:tcBorders>
            <w:noWrap/>
            <w:vAlign w:val="center"/>
          </w:tcPr>
          <w:p w14:paraId="1284D8E7">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姓名</w:t>
            </w:r>
          </w:p>
        </w:tc>
        <w:tc>
          <w:tcPr>
            <w:tcW w:w="3080" w:type="dxa"/>
            <w:tcBorders>
              <w:top w:val="nil"/>
              <w:left w:val="nil"/>
              <w:bottom w:val="single" w:color="auto" w:sz="4" w:space="0"/>
              <w:right w:val="single" w:color="auto" w:sz="4" w:space="0"/>
            </w:tcBorders>
            <w:noWrap/>
            <w:vAlign w:val="center"/>
          </w:tcPr>
          <w:p w14:paraId="0D81D6CF">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电话</w:t>
            </w:r>
          </w:p>
        </w:tc>
        <w:tc>
          <w:tcPr>
            <w:tcW w:w="3080" w:type="dxa"/>
            <w:tcBorders>
              <w:top w:val="nil"/>
              <w:left w:val="nil"/>
              <w:bottom w:val="single" w:color="auto" w:sz="4" w:space="0"/>
              <w:right w:val="single" w:color="auto" w:sz="4" w:space="0"/>
            </w:tcBorders>
            <w:noWrap/>
            <w:vAlign w:val="center"/>
          </w:tcPr>
          <w:p w14:paraId="491A8237">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传真</w:t>
            </w:r>
          </w:p>
        </w:tc>
        <w:tc>
          <w:tcPr>
            <w:tcW w:w="3080" w:type="dxa"/>
            <w:tcBorders>
              <w:top w:val="nil"/>
              <w:left w:val="nil"/>
              <w:bottom w:val="single" w:color="auto" w:sz="4" w:space="0"/>
              <w:right w:val="single" w:color="auto" w:sz="4" w:space="0"/>
            </w:tcBorders>
            <w:noWrap/>
            <w:vAlign w:val="center"/>
          </w:tcPr>
          <w:p w14:paraId="1902489B">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手机</w:t>
            </w:r>
          </w:p>
        </w:tc>
      </w:tr>
      <w:tr w14:paraId="48E9005D">
        <w:tblPrEx>
          <w:tblCellMar>
            <w:top w:w="0" w:type="dxa"/>
            <w:left w:w="108" w:type="dxa"/>
            <w:bottom w:w="0" w:type="dxa"/>
            <w:right w:w="108" w:type="dxa"/>
          </w:tblCellMar>
        </w:tblPrEx>
        <w:trPr>
          <w:trHeight w:val="702" w:hRule="atLeast"/>
          <w:jc w:val="center"/>
        </w:trPr>
        <w:tc>
          <w:tcPr>
            <w:tcW w:w="680" w:type="dxa"/>
            <w:vMerge w:val="continue"/>
            <w:tcBorders>
              <w:top w:val="nil"/>
              <w:left w:val="single" w:color="auto" w:sz="4" w:space="0"/>
              <w:bottom w:val="single" w:color="auto" w:sz="4" w:space="0"/>
              <w:right w:val="single" w:color="auto" w:sz="4" w:space="0"/>
            </w:tcBorders>
            <w:noWrap/>
            <w:vAlign w:val="center"/>
          </w:tcPr>
          <w:p w14:paraId="58E7F434">
            <w:pPr>
              <w:rPr>
                <w:rFonts w:hint="eastAsia" w:ascii="仿宋" w:hAnsi="仿宋" w:eastAsia="仿宋" w:cs="宋体"/>
                <w:bCs/>
                <w:color w:val="auto"/>
                <w:highlight w:val="none"/>
              </w:rPr>
            </w:pPr>
          </w:p>
        </w:tc>
        <w:tc>
          <w:tcPr>
            <w:tcW w:w="1520" w:type="dxa"/>
            <w:vMerge w:val="continue"/>
            <w:tcBorders>
              <w:top w:val="nil"/>
              <w:left w:val="single" w:color="auto" w:sz="4" w:space="0"/>
              <w:bottom w:val="single" w:color="auto" w:sz="4" w:space="0"/>
              <w:right w:val="single" w:color="auto" w:sz="4" w:space="0"/>
            </w:tcBorders>
            <w:noWrap/>
            <w:vAlign w:val="center"/>
          </w:tcPr>
          <w:p w14:paraId="55905BC3">
            <w:pPr>
              <w:rPr>
                <w:rFonts w:hint="eastAsia" w:ascii="仿宋" w:hAnsi="仿宋" w:eastAsia="仿宋" w:cs="宋体"/>
                <w:bCs/>
                <w:color w:val="auto"/>
                <w:highlight w:val="none"/>
              </w:rPr>
            </w:pPr>
          </w:p>
        </w:tc>
        <w:tc>
          <w:tcPr>
            <w:tcW w:w="3080" w:type="dxa"/>
            <w:tcBorders>
              <w:top w:val="nil"/>
              <w:left w:val="nil"/>
              <w:bottom w:val="single" w:color="auto" w:sz="4" w:space="0"/>
              <w:right w:val="single" w:color="auto" w:sz="4" w:space="0"/>
            </w:tcBorders>
            <w:noWrap/>
            <w:vAlign w:val="center"/>
          </w:tcPr>
          <w:p w14:paraId="1E1D1EC2">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　</w:t>
            </w:r>
          </w:p>
        </w:tc>
        <w:tc>
          <w:tcPr>
            <w:tcW w:w="3080" w:type="dxa"/>
            <w:tcBorders>
              <w:top w:val="nil"/>
              <w:left w:val="nil"/>
              <w:bottom w:val="single" w:color="auto" w:sz="4" w:space="0"/>
              <w:right w:val="single" w:color="auto" w:sz="4" w:space="0"/>
            </w:tcBorders>
            <w:noWrap/>
            <w:vAlign w:val="center"/>
          </w:tcPr>
          <w:p w14:paraId="5E31C6ED">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　</w:t>
            </w:r>
          </w:p>
        </w:tc>
        <w:tc>
          <w:tcPr>
            <w:tcW w:w="3080" w:type="dxa"/>
            <w:tcBorders>
              <w:top w:val="nil"/>
              <w:left w:val="nil"/>
              <w:bottom w:val="single" w:color="auto" w:sz="4" w:space="0"/>
              <w:right w:val="single" w:color="auto" w:sz="4" w:space="0"/>
            </w:tcBorders>
            <w:noWrap/>
            <w:vAlign w:val="center"/>
          </w:tcPr>
          <w:p w14:paraId="36A952C2">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　</w:t>
            </w:r>
          </w:p>
        </w:tc>
        <w:tc>
          <w:tcPr>
            <w:tcW w:w="3080" w:type="dxa"/>
            <w:tcBorders>
              <w:top w:val="nil"/>
              <w:left w:val="nil"/>
              <w:bottom w:val="single" w:color="auto" w:sz="4" w:space="0"/>
              <w:right w:val="single" w:color="auto" w:sz="4" w:space="0"/>
            </w:tcBorders>
            <w:noWrap/>
            <w:vAlign w:val="center"/>
          </w:tcPr>
          <w:p w14:paraId="18D89C18">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　</w:t>
            </w:r>
          </w:p>
        </w:tc>
      </w:tr>
      <w:tr w14:paraId="10E8E3D6">
        <w:tblPrEx>
          <w:tblCellMar>
            <w:top w:w="0" w:type="dxa"/>
            <w:left w:w="108" w:type="dxa"/>
            <w:bottom w:w="0" w:type="dxa"/>
            <w:right w:w="108" w:type="dxa"/>
          </w:tblCellMar>
        </w:tblPrEx>
        <w:trPr>
          <w:trHeight w:val="702" w:hRule="atLeast"/>
          <w:jc w:val="center"/>
        </w:trPr>
        <w:tc>
          <w:tcPr>
            <w:tcW w:w="680" w:type="dxa"/>
            <w:vMerge w:val="restart"/>
            <w:tcBorders>
              <w:top w:val="nil"/>
              <w:left w:val="single" w:color="auto" w:sz="4" w:space="0"/>
              <w:bottom w:val="single" w:color="auto" w:sz="4" w:space="0"/>
              <w:right w:val="single" w:color="auto" w:sz="4" w:space="0"/>
            </w:tcBorders>
            <w:noWrap/>
            <w:vAlign w:val="center"/>
          </w:tcPr>
          <w:p w14:paraId="460BB5F7">
            <w:pPr>
              <w:jc w:val="center"/>
              <w:rPr>
                <w:rFonts w:hint="eastAsia" w:ascii="仿宋" w:hAnsi="仿宋" w:eastAsia="仿宋" w:cs="宋体"/>
                <w:bCs/>
                <w:color w:val="auto"/>
                <w:highlight w:val="none"/>
              </w:rPr>
            </w:pPr>
            <w:r>
              <w:rPr>
                <w:rFonts w:hint="eastAsia" w:ascii="仿宋" w:hAnsi="仿宋" w:eastAsia="仿宋" w:cs="宋体"/>
                <w:bCs/>
                <w:color w:val="auto"/>
                <w:highlight w:val="none"/>
              </w:rPr>
              <w:t>备注</w:t>
            </w:r>
          </w:p>
        </w:tc>
        <w:tc>
          <w:tcPr>
            <w:tcW w:w="13840" w:type="dxa"/>
            <w:gridSpan w:val="5"/>
            <w:tcBorders>
              <w:top w:val="nil"/>
              <w:left w:val="nil"/>
              <w:bottom w:val="nil"/>
              <w:right w:val="single" w:color="000000" w:sz="4" w:space="0"/>
            </w:tcBorders>
            <w:noWrap/>
            <w:vAlign w:val="center"/>
          </w:tcPr>
          <w:p w14:paraId="4A509820">
            <w:pPr>
              <w:rPr>
                <w:rFonts w:hint="eastAsia" w:ascii="仿宋" w:hAnsi="仿宋" w:eastAsia="仿宋" w:cs="宋体"/>
                <w:bCs/>
                <w:color w:val="auto"/>
                <w:highlight w:val="none"/>
              </w:rPr>
            </w:pPr>
          </w:p>
        </w:tc>
      </w:tr>
      <w:tr w14:paraId="4D2A2829">
        <w:tblPrEx>
          <w:tblCellMar>
            <w:top w:w="0" w:type="dxa"/>
            <w:left w:w="108" w:type="dxa"/>
            <w:bottom w:w="0" w:type="dxa"/>
            <w:right w:w="108" w:type="dxa"/>
          </w:tblCellMar>
        </w:tblPrEx>
        <w:trPr>
          <w:trHeight w:val="874" w:hRule="atLeast"/>
          <w:jc w:val="center"/>
        </w:trPr>
        <w:tc>
          <w:tcPr>
            <w:tcW w:w="680" w:type="dxa"/>
            <w:vMerge w:val="continue"/>
            <w:tcBorders>
              <w:top w:val="nil"/>
              <w:left w:val="single" w:color="auto" w:sz="4" w:space="0"/>
              <w:bottom w:val="single" w:color="auto" w:sz="4" w:space="0"/>
              <w:right w:val="single" w:color="auto" w:sz="4" w:space="0"/>
            </w:tcBorders>
            <w:noWrap/>
            <w:vAlign w:val="center"/>
          </w:tcPr>
          <w:p w14:paraId="517944E9">
            <w:pPr>
              <w:rPr>
                <w:rFonts w:hint="eastAsia" w:ascii="仿宋" w:hAnsi="仿宋" w:eastAsia="仿宋" w:cs="宋体"/>
                <w:bCs/>
                <w:color w:val="auto"/>
                <w:highlight w:val="none"/>
              </w:rPr>
            </w:pPr>
          </w:p>
        </w:tc>
        <w:tc>
          <w:tcPr>
            <w:tcW w:w="13840" w:type="dxa"/>
            <w:gridSpan w:val="5"/>
            <w:tcBorders>
              <w:top w:val="nil"/>
              <w:left w:val="nil"/>
              <w:bottom w:val="single" w:color="auto" w:sz="4" w:space="0"/>
              <w:right w:val="single" w:color="000000" w:sz="4" w:space="0"/>
            </w:tcBorders>
            <w:noWrap/>
            <w:vAlign w:val="center"/>
          </w:tcPr>
          <w:p w14:paraId="34557304">
            <w:pPr>
              <w:rPr>
                <w:rFonts w:hint="eastAsia" w:ascii="仿宋" w:hAnsi="仿宋" w:eastAsia="仿宋" w:cs="宋体"/>
                <w:bCs/>
                <w:color w:val="auto"/>
                <w:highlight w:val="none"/>
              </w:rPr>
            </w:pPr>
          </w:p>
        </w:tc>
      </w:tr>
    </w:tbl>
    <w:p w14:paraId="65538036">
      <w:pPr>
        <w:rPr>
          <w:rFonts w:hint="eastAsia" w:cs="宋体" w:asciiTheme="minorEastAsia" w:hAnsiTheme="minorEastAsia" w:eastAsiaTheme="minorEastAsia"/>
          <w:color w:val="auto"/>
          <w:sz w:val="24"/>
          <w:szCs w:val="24"/>
          <w:highlight w:val="none"/>
        </w:rPr>
        <w:sectPr>
          <w:pgSz w:w="16838" w:h="11906" w:orient="landscape"/>
          <w:pgMar w:top="1803" w:right="1440" w:bottom="1803" w:left="1440" w:header="851" w:footer="992" w:gutter="0"/>
          <w:paperSrc/>
          <w:cols w:space="0" w:num="1"/>
          <w:rtlGutter w:val="0"/>
          <w:docGrid w:type="lines" w:linePitch="319" w:charSpace="0"/>
        </w:sectPr>
      </w:pPr>
    </w:p>
    <w:p w14:paraId="5F8B073F">
      <w:pPr>
        <w:rPr>
          <w:rFonts w:hint="eastAsia" w:cs="宋体" w:asciiTheme="minorEastAsia" w:hAnsiTheme="minorEastAsia" w:eastAsiaTheme="minorEastAsia"/>
          <w:color w:val="auto"/>
          <w:sz w:val="24"/>
          <w:szCs w:val="24"/>
          <w:highlight w:val="none"/>
        </w:rPr>
      </w:pPr>
    </w:p>
    <w:p w14:paraId="6AF6CA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6350E">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1397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287020" cy="139700"/>
                      </a:xfrm>
                      <a:prstGeom prst="rect">
                        <a:avLst/>
                      </a:prstGeom>
                      <a:noFill/>
                      <a:ln w="6350">
                        <a:noFill/>
                      </a:ln>
                      <a:effectLst/>
                    </wps:spPr>
                    <wps:txbx>
                      <w:txbxContent>
                        <w:p w14:paraId="6FF4AA7B">
                          <w:pPr>
                            <w:pStyle w:val="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22.6pt;mso-position-horizontal:center;mso-position-horizontal-relative:margin;mso-wrap-style:none;z-index:251659264;mso-width-relative:page;mso-height-relative:page;" filled="f" stroked="f" coordsize="21600,21600" o:gfxdata="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VWoXjRAAAAAwEAAA8AAAAAAAAAAQAgAAAAIgAAAGRycy9kb3ducmV2LnhtbFBL&#10;AQIUABQAAAAIAIdO4kCGyO9iNgIAAGIEAAAOAAAAAAAAAAEAIAAAACABAABkcnMvZTJvRG9jLnht&#10;bFBLBQYAAAAABgAGAFkBAADIBQAAAAA=&#10;">
              <v:fill on="f" focussize="0,0"/>
              <v:stroke on="f" weight="0.5pt"/>
              <v:imagedata o:title=""/>
              <o:lock v:ext="edit" aspectratio="f"/>
              <v:textbox inset="0mm,0mm,0mm,0mm" style="mso-fit-shape-to-text:t;">
                <w:txbxContent>
                  <w:p w14:paraId="6FF4AA7B">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E28D">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4C629">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4E90A">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528C9">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C4CE">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1FB0B"/>
    <w:multiLevelType w:val="singleLevel"/>
    <w:tmpl w:val="4421FB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B660D"/>
    <w:rsid w:val="1B746F78"/>
    <w:rsid w:val="1C24274C"/>
    <w:rsid w:val="1D921938"/>
    <w:rsid w:val="285048C9"/>
    <w:rsid w:val="373C4996"/>
    <w:rsid w:val="4FC254F6"/>
    <w:rsid w:val="662E5549"/>
    <w:rsid w:val="66C8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1"/>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2025-05-29T09:01:36Z</dcterms:created>
  <dc:creator>yxjl2</dc:creator>
  <cp:lastModifiedBy>WPS_1671122073</cp:lastModifiedBy>
  <dcterms:modified xsi:type="dcterms:W3CDTF">2025-05-29T09:02:36Z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eyJoZGlkIjoiNGU5YTk2NWU3OTRhNTU0YjZlNWE0ODExMjY4YzM0MTgiLCJ1c2VySWQiOiIxNDU3OTc3Mjc3In0=</vt:lpwstr>
  </property>
  <property fmtid="{D5CDD505-2E9C-101B-9397-08002B2CF9AE}" pid="4" name="ICV">
    <vt:lpwstr>428CA969964D4BEBB7F335BB63EEA9B3_12</vt:lpwstr>
  </property>
</Properties>
</file>